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1807" w:firstLineChars="500"/>
        <w:jc w:val="both"/>
        <w:rPr>
          <w:rFonts w:ascii="仿宋" w:hAnsi="仿宋" w:eastAsia="仿宋" w:cs="仿宋"/>
          <w:b/>
          <w:sz w:val="36"/>
          <w:szCs w:val="36"/>
        </w:rPr>
      </w:pPr>
      <w:r>
        <w:rPr>
          <w:rFonts w:hint="eastAsia" w:ascii="仿宋" w:hAnsi="仿宋" w:eastAsia="仿宋" w:cs="仿宋"/>
          <w:b/>
          <w:sz w:val="36"/>
          <w:szCs w:val="36"/>
        </w:rPr>
        <w:t>江西IPTV轮播系统技术需求书</w:t>
      </w: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sdt>
      <w:sdtPr>
        <w:rPr>
          <w:rFonts w:ascii="宋体" w:hAnsi="宋体" w:eastAsia="宋体"/>
          <w:szCs w:val="28"/>
        </w:rPr>
        <w:id w:val="147483626"/>
        <w15:color w:val="DBDBDB"/>
        <w:docPartObj>
          <w:docPartGallery w:val="Table of Contents"/>
          <w:docPartUnique/>
        </w:docPartObj>
      </w:sdtPr>
      <w:sdtEndPr>
        <w:rPr>
          <w:rFonts w:hint="eastAsia" w:ascii="仿宋" w:hAnsi="仿宋" w:eastAsia="仿宋" w:cs="仿宋"/>
          <w:b/>
          <w:szCs w:val="24"/>
        </w:rPr>
      </w:sdtEndPr>
      <w:sdtContent>
        <w:p>
          <w:pPr>
            <w:spacing w:line="360" w:lineRule="auto"/>
            <w:ind w:firstLine="0" w:firstLineChars="0"/>
            <w:jc w:val="center"/>
            <w:rPr>
              <w:szCs w:val="28"/>
            </w:rPr>
          </w:pPr>
          <w:r>
            <w:rPr>
              <w:rFonts w:ascii="宋体" w:hAnsi="宋体" w:eastAsia="宋体"/>
              <w:szCs w:val="28"/>
            </w:rPr>
            <w:t>目录</w:t>
          </w:r>
        </w:p>
        <w:p>
          <w:pPr>
            <w:pStyle w:val="8"/>
            <w:tabs>
              <w:tab w:val="right" w:leader="dot" w:pos="8306"/>
            </w:tabs>
            <w:ind w:firstLine="562"/>
          </w:pPr>
          <w:r>
            <w:rPr>
              <w:rFonts w:hint="eastAsia" w:ascii="仿宋" w:hAnsi="仿宋" w:eastAsia="仿宋" w:cs="仿宋"/>
              <w:b/>
              <w:szCs w:val="28"/>
            </w:rPr>
            <w:fldChar w:fldCharType="begin"/>
          </w:r>
          <w:r>
            <w:rPr>
              <w:rFonts w:hint="eastAsia" w:ascii="仿宋" w:hAnsi="仿宋" w:eastAsia="仿宋" w:cs="仿宋"/>
              <w:b/>
              <w:szCs w:val="28"/>
            </w:rPr>
            <w:instrText xml:space="preserve">TOC \o "1-2" \h \u </w:instrText>
          </w:r>
          <w:r>
            <w:rPr>
              <w:rFonts w:hint="eastAsia" w:ascii="仿宋" w:hAnsi="仿宋" w:eastAsia="仿宋" w:cs="仿宋"/>
              <w:b/>
              <w:szCs w:val="28"/>
            </w:rPr>
            <w:fldChar w:fldCharType="separate"/>
          </w:r>
          <w:r>
            <w:fldChar w:fldCharType="begin"/>
          </w:r>
          <w:r>
            <w:instrText xml:space="preserve"> HYPERLINK \l "_Toc29372" </w:instrText>
          </w:r>
          <w:r>
            <w:fldChar w:fldCharType="separate"/>
          </w:r>
          <w:r>
            <w:rPr>
              <w:rFonts w:ascii="仿宋" w:hAnsi="仿宋" w:eastAsia="仿宋" w:cs="仿宋"/>
              <w:szCs w:val="24"/>
            </w:rPr>
            <w:t xml:space="preserve">1． </w:t>
          </w:r>
          <w:r>
            <w:rPr>
              <w:rFonts w:hint="eastAsia" w:ascii="仿宋" w:hAnsi="仿宋" w:eastAsia="仿宋" w:cs="仿宋"/>
              <w:szCs w:val="24"/>
            </w:rPr>
            <w:t>项目背景</w:t>
          </w:r>
          <w:r>
            <w:tab/>
          </w:r>
          <w:r>
            <w:fldChar w:fldCharType="end"/>
          </w:r>
        </w:p>
        <w:p>
          <w:pPr>
            <w:pStyle w:val="8"/>
            <w:tabs>
              <w:tab w:val="right" w:leader="dot" w:pos="8306"/>
            </w:tabs>
            <w:ind w:firstLine="560"/>
          </w:pPr>
          <w:r>
            <w:fldChar w:fldCharType="begin"/>
          </w:r>
          <w:r>
            <w:instrText xml:space="preserve"> HYPERLINK \l "_Toc1908" </w:instrText>
          </w:r>
          <w:r>
            <w:fldChar w:fldCharType="separate"/>
          </w:r>
          <w:r>
            <w:rPr>
              <w:rFonts w:ascii="仿宋" w:hAnsi="仿宋" w:eastAsia="仿宋" w:cs="仿宋"/>
              <w:szCs w:val="24"/>
            </w:rPr>
            <w:t xml:space="preserve">2． </w:t>
          </w:r>
          <w:r>
            <w:rPr>
              <w:rFonts w:hint="eastAsia" w:ascii="仿宋" w:hAnsi="仿宋" w:eastAsia="仿宋" w:cs="仿宋"/>
              <w:szCs w:val="24"/>
            </w:rPr>
            <w:t>技术需求</w:t>
          </w:r>
          <w:r>
            <w:tab/>
          </w:r>
          <w:r>
            <w:fldChar w:fldCharType="end"/>
          </w:r>
        </w:p>
        <w:p>
          <w:pPr>
            <w:pStyle w:val="9"/>
            <w:tabs>
              <w:tab w:val="right" w:leader="dot" w:pos="8306"/>
            </w:tabs>
            <w:ind w:left="560" w:firstLine="560"/>
          </w:pPr>
          <w:r>
            <w:fldChar w:fldCharType="begin"/>
          </w:r>
          <w:r>
            <w:instrText xml:space="preserve"> HYPERLINK \l "_Toc3743" </w:instrText>
          </w:r>
          <w:r>
            <w:fldChar w:fldCharType="separate"/>
          </w:r>
          <w:r>
            <w:rPr>
              <w:rFonts w:hint="eastAsia" w:ascii="仿宋" w:hAnsi="仿宋" w:eastAsia="仿宋" w:cs="仿宋"/>
              <w:bCs/>
              <w:szCs w:val="24"/>
            </w:rPr>
            <w:t>2.1播出控制</w:t>
          </w:r>
          <w:r>
            <w:tab/>
          </w:r>
          <w:r>
            <w:fldChar w:fldCharType="end"/>
          </w:r>
        </w:p>
        <w:p>
          <w:pPr>
            <w:pStyle w:val="9"/>
            <w:tabs>
              <w:tab w:val="right" w:leader="dot" w:pos="8306"/>
            </w:tabs>
            <w:ind w:left="560" w:firstLine="560"/>
          </w:pPr>
          <w:r>
            <w:fldChar w:fldCharType="begin"/>
          </w:r>
          <w:r>
            <w:instrText xml:space="preserve"> HYPERLINK \l "_Toc16279" </w:instrText>
          </w:r>
          <w:r>
            <w:fldChar w:fldCharType="separate"/>
          </w:r>
          <w:r>
            <w:rPr>
              <w:rFonts w:hint="eastAsia" w:ascii="仿宋" w:hAnsi="仿宋" w:eastAsia="仿宋" w:cs="仿宋"/>
              <w:szCs w:val="24"/>
            </w:rPr>
            <w:t>2.2素材及内容管理</w:t>
          </w:r>
          <w:r>
            <w:tab/>
          </w:r>
          <w:r>
            <w:fldChar w:fldCharType="end"/>
          </w:r>
        </w:p>
        <w:p>
          <w:pPr>
            <w:pStyle w:val="9"/>
            <w:tabs>
              <w:tab w:val="right" w:leader="dot" w:pos="8306"/>
            </w:tabs>
            <w:ind w:left="560" w:firstLine="560"/>
          </w:pPr>
          <w:r>
            <w:fldChar w:fldCharType="begin"/>
          </w:r>
          <w:r>
            <w:instrText xml:space="preserve"> HYPERLINK \l "_Toc22009" </w:instrText>
          </w:r>
          <w:r>
            <w:fldChar w:fldCharType="separate"/>
          </w:r>
          <w:r>
            <w:rPr>
              <w:rFonts w:hint="eastAsia" w:ascii="仿宋" w:hAnsi="仿宋" w:eastAsia="仿宋" w:cs="仿宋"/>
              <w:szCs w:val="24"/>
            </w:rPr>
            <w:t>2.3编单管理</w:t>
          </w:r>
          <w:r>
            <w:tab/>
          </w:r>
          <w:r>
            <w:fldChar w:fldCharType="end"/>
          </w:r>
        </w:p>
        <w:p>
          <w:pPr>
            <w:pStyle w:val="9"/>
            <w:tabs>
              <w:tab w:val="right" w:leader="dot" w:pos="8306"/>
            </w:tabs>
            <w:ind w:left="560" w:firstLine="560"/>
          </w:pPr>
          <w:r>
            <w:fldChar w:fldCharType="begin"/>
          </w:r>
          <w:r>
            <w:instrText xml:space="preserve"> HYPERLINK \l "_Toc24806" </w:instrText>
          </w:r>
          <w:r>
            <w:fldChar w:fldCharType="separate"/>
          </w:r>
          <w:r>
            <w:rPr>
              <w:rFonts w:hint="eastAsia" w:ascii="仿宋" w:hAnsi="仿宋" w:eastAsia="仿宋" w:cs="仿宋"/>
              <w:szCs w:val="24"/>
            </w:rPr>
            <w:t>2.4轮播播出功能</w:t>
          </w:r>
          <w:r>
            <w:tab/>
          </w:r>
          <w:r>
            <w:fldChar w:fldCharType="end"/>
          </w:r>
        </w:p>
        <w:p>
          <w:pPr>
            <w:pStyle w:val="8"/>
            <w:tabs>
              <w:tab w:val="right" w:leader="dot" w:pos="8306"/>
            </w:tabs>
            <w:ind w:firstLine="560"/>
          </w:pPr>
          <w:r>
            <w:fldChar w:fldCharType="begin"/>
          </w:r>
          <w:r>
            <w:instrText xml:space="preserve"> HYPERLINK \l "_Toc14358" </w:instrText>
          </w:r>
          <w:r>
            <w:fldChar w:fldCharType="separate"/>
          </w:r>
          <w:r>
            <w:rPr>
              <w:rFonts w:ascii="仿宋" w:hAnsi="仿宋" w:eastAsia="仿宋" w:cs="仿宋"/>
              <w:szCs w:val="24"/>
            </w:rPr>
            <w:t xml:space="preserve">3． </w:t>
          </w:r>
          <w:r>
            <w:rPr>
              <w:rFonts w:hint="eastAsia" w:ascii="仿宋" w:hAnsi="仿宋" w:eastAsia="仿宋" w:cs="仿宋"/>
              <w:szCs w:val="24"/>
            </w:rPr>
            <w:t>售后服务</w:t>
          </w:r>
          <w:r>
            <w:tab/>
          </w:r>
          <w:r>
            <w:fldChar w:fldCharType="end"/>
          </w:r>
        </w:p>
        <w:p>
          <w:pPr>
            <w:spacing w:line="360" w:lineRule="auto"/>
            <w:ind w:firstLine="560"/>
            <w:jc w:val="center"/>
            <w:rPr>
              <w:rFonts w:ascii="仿宋" w:hAnsi="仿宋" w:eastAsia="仿宋" w:cs="仿宋"/>
              <w:b/>
              <w:sz w:val="24"/>
              <w:szCs w:val="24"/>
            </w:rPr>
          </w:pPr>
          <w:r>
            <w:rPr>
              <w:rFonts w:hint="eastAsia" w:ascii="仿宋" w:hAnsi="仿宋" w:eastAsia="仿宋" w:cs="仿宋"/>
              <w:szCs w:val="28"/>
            </w:rPr>
            <w:fldChar w:fldCharType="end"/>
          </w:r>
        </w:p>
      </w:sdtContent>
    </w:sdt>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482"/>
        <w:jc w:val="center"/>
        <w:rPr>
          <w:rFonts w:ascii="仿宋" w:hAnsi="仿宋" w:eastAsia="仿宋" w:cs="仿宋"/>
          <w:b/>
          <w:sz w:val="24"/>
          <w:szCs w:val="24"/>
        </w:rPr>
      </w:pPr>
    </w:p>
    <w:p>
      <w:pPr>
        <w:spacing w:line="360" w:lineRule="auto"/>
        <w:ind w:firstLine="0" w:firstLineChars="0"/>
        <w:jc w:val="both"/>
        <w:rPr>
          <w:rFonts w:ascii="仿宋" w:hAnsi="仿宋" w:eastAsia="仿宋" w:cs="仿宋"/>
          <w:sz w:val="24"/>
          <w:szCs w:val="24"/>
        </w:rPr>
      </w:pPr>
    </w:p>
    <w:p>
      <w:pPr>
        <w:pStyle w:val="16"/>
        <w:numPr>
          <w:ilvl w:val="0"/>
          <w:numId w:val="1"/>
        </w:numPr>
        <w:spacing w:line="360" w:lineRule="auto"/>
        <w:ind w:firstLineChars="0"/>
        <w:jc w:val="both"/>
        <w:outlineLvl w:val="0"/>
        <w:rPr>
          <w:rFonts w:ascii="仿宋" w:hAnsi="仿宋" w:eastAsia="仿宋" w:cs="仿宋"/>
          <w:b/>
          <w:sz w:val="24"/>
          <w:szCs w:val="24"/>
        </w:rPr>
      </w:pPr>
      <w:bookmarkStart w:id="0" w:name="_Toc29372"/>
      <w:bookmarkStart w:id="8" w:name="_GoBack"/>
      <w:r>
        <w:rPr>
          <w:rFonts w:hint="eastAsia" w:ascii="仿宋" w:hAnsi="仿宋" w:eastAsia="仿宋" w:cs="仿宋"/>
          <w:b/>
          <w:sz w:val="24"/>
          <w:szCs w:val="24"/>
        </w:rPr>
        <w:t>项目背景</w:t>
      </w:r>
      <w:bookmarkEnd w:id="0"/>
    </w:p>
    <w:p>
      <w:pPr>
        <w:spacing w:line="360" w:lineRule="auto"/>
        <w:ind w:firstLine="480"/>
        <w:jc w:val="both"/>
        <w:rPr>
          <w:rFonts w:ascii="仿宋" w:hAnsi="仿宋" w:eastAsia="仿宋" w:cs="仿宋"/>
          <w:sz w:val="24"/>
          <w:szCs w:val="24"/>
        </w:rPr>
      </w:pPr>
      <w:r>
        <w:rPr>
          <w:rFonts w:hint="eastAsia" w:ascii="仿宋" w:hAnsi="仿宋" w:eastAsia="仿宋" w:cs="仿宋"/>
          <w:sz w:val="24"/>
          <w:szCs w:val="24"/>
        </w:rPr>
        <w:t>受新型冠状病毒肺炎疫情影响，江西省广大的中小学生无法正常的去学校上课，江西IPTV平台响应政府号召，开展停课不停学直播教育课程，IPTV播控平台作为内容播控方很好的承担了应有的社会责任，及时展开了云教育平台的建设，为三大电信运营商提供了在线教育直播频道。随着IPTV业务发展越来越多样性，这种个性化直播需求会越来越多，所以江西IPTV播控平台需要立足IPTV业务长远发展，详细规划建设一套功能完善，满足后期业务形式多样化需求的轮播系统。</w:t>
      </w:r>
    </w:p>
    <w:p>
      <w:pPr>
        <w:spacing w:line="360" w:lineRule="auto"/>
        <w:ind w:firstLine="0" w:firstLineChars="0"/>
        <w:jc w:val="both"/>
        <w:rPr>
          <w:rFonts w:ascii="仿宋" w:hAnsi="仿宋" w:eastAsia="仿宋" w:cs="仿宋"/>
          <w:sz w:val="24"/>
          <w:szCs w:val="24"/>
        </w:rPr>
      </w:pPr>
    </w:p>
    <w:p>
      <w:pPr>
        <w:pStyle w:val="16"/>
        <w:numPr>
          <w:ilvl w:val="0"/>
          <w:numId w:val="1"/>
        </w:numPr>
        <w:spacing w:line="360" w:lineRule="auto"/>
        <w:ind w:firstLineChars="0"/>
        <w:jc w:val="both"/>
        <w:outlineLvl w:val="0"/>
        <w:rPr>
          <w:rFonts w:ascii="仿宋" w:hAnsi="仿宋" w:eastAsia="仿宋" w:cs="仿宋"/>
          <w:bCs/>
          <w:sz w:val="24"/>
          <w:szCs w:val="24"/>
        </w:rPr>
      </w:pPr>
      <w:bookmarkStart w:id="1" w:name="_Toc1908"/>
      <w:r>
        <w:rPr>
          <w:rFonts w:hint="eastAsia" w:ascii="仿宋" w:hAnsi="仿宋" w:eastAsia="仿宋" w:cs="仿宋"/>
          <w:b/>
          <w:sz w:val="24"/>
          <w:szCs w:val="24"/>
        </w:rPr>
        <w:t>技术需求</w:t>
      </w:r>
      <w:bookmarkEnd w:id="1"/>
    </w:p>
    <w:p>
      <w:pPr>
        <w:spacing w:line="360" w:lineRule="auto"/>
        <w:ind w:firstLine="0" w:firstLineChars="0"/>
        <w:jc w:val="both"/>
        <w:outlineLvl w:val="1"/>
        <w:rPr>
          <w:rFonts w:ascii="仿宋" w:hAnsi="仿宋" w:eastAsia="仿宋" w:cs="仿宋"/>
          <w:b/>
          <w:bCs/>
          <w:sz w:val="24"/>
          <w:szCs w:val="24"/>
        </w:rPr>
      </w:pPr>
      <w:bookmarkStart w:id="2" w:name="_Toc3743"/>
      <w:r>
        <w:rPr>
          <w:rFonts w:hint="eastAsia" w:ascii="仿宋" w:hAnsi="仿宋" w:eastAsia="仿宋" w:cs="仿宋"/>
          <w:b/>
          <w:bCs/>
          <w:sz w:val="24"/>
          <w:szCs w:val="24"/>
        </w:rPr>
        <w:t>2.1播出控制</w:t>
      </w:r>
      <w:bookmarkEnd w:id="2"/>
    </w:p>
    <w:p>
      <w:pPr>
        <w:spacing w:line="360" w:lineRule="auto"/>
        <w:ind w:firstLine="0" w:firstLineChars="0"/>
        <w:jc w:val="both"/>
        <w:rPr>
          <w:rFonts w:ascii="仿宋" w:hAnsi="仿宋" w:eastAsia="仿宋" w:cs="仿宋"/>
          <w:b/>
          <w:sz w:val="24"/>
          <w:szCs w:val="24"/>
        </w:rPr>
      </w:pPr>
      <w:r>
        <w:rPr>
          <w:rFonts w:hint="eastAsia" w:ascii="仿宋" w:hAnsi="仿宋" w:eastAsia="仿宋" w:cs="仿宋"/>
          <w:sz w:val="24"/>
          <w:szCs w:val="24"/>
        </w:rPr>
        <w:t>1.实时播出管理界面，能够监视所有在播频道的播出状态以及播出设备的状态。</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2.播控系统根据列表信息对播出服务器进行播出控制及管理。可方便的实现信息的立即播出待播条、立即播出当前条、停止播出、应急切换至垫播、切换到播表播出等功能。</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3.可对播出状态进行实时监控及分类监控，实时监控是指对当前节点的所有频道进行全面监控，监控项包括但不限于以下内容：频道名称、现播出节目名称、时间长度、已播长度、待播节目名称、时间长度、开始播出时间等信息。</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4.分类监控是指针对某一频道进行监控，监控内容主要包括播出时间、播出类型、设备、长度、节目名称、播出状态及实际播出时间等信息。且可通过不同的颜色对已播出、正在播放、待播等不同状态进行明显的区分。</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5.支持自动垫播：因片源故障（码率、格式等问题），时长与实际列表不一致，无法播出等情况，系统能自动通过播出控制软件系统垫播指定的垫片文件。</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6.系统应采用开放性设计，可提供标准的接口规范，并提供规范样本。</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7.可直观查看到垫片及后续待播的内容信息，并可一键切换播出。</w:t>
      </w:r>
    </w:p>
    <w:p>
      <w:pPr>
        <w:spacing w:line="36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8.支持对打开的播出表要进行合法性检测，对播出列表中的素材进行存在性检测，不存在的素材将提前给出醒目的提示。</w:t>
      </w:r>
    </w:p>
    <w:p>
      <w:pPr>
        <w:spacing w:line="360" w:lineRule="auto"/>
        <w:ind w:firstLine="0" w:firstLineChars="0"/>
        <w:jc w:val="both"/>
        <w:rPr>
          <w:rFonts w:hint="eastAsia" w:ascii="仿宋" w:hAnsi="仿宋" w:eastAsia="仿宋" w:cs="仿宋"/>
          <w:sz w:val="24"/>
          <w:szCs w:val="24"/>
          <w:lang w:eastAsia="zh-CN"/>
        </w:rPr>
      </w:pPr>
      <w:r>
        <w:rPr>
          <w:rFonts w:hint="eastAsia" w:ascii="仿宋" w:hAnsi="仿宋" w:eastAsia="仿宋" w:cs="仿宋"/>
          <w:sz w:val="24"/>
          <w:szCs w:val="24"/>
        </w:rPr>
        <w:t>9.播控节目表支持设置大、中、小字体</w:t>
      </w:r>
      <w:r>
        <w:rPr>
          <w:rFonts w:hint="eastAsia" w:ascii="仿宋" w:hAnsi="仿宋" w:eastAsia="仿宋" w:cs="仿宋"/>
          <w:sz w:val="24"/>
          <w:szCs w:val="24"/>
          <w:lang w:eastAsia="zh-CN"/>
        </w:rPr>
        <w:t>，</w:t>
      </w:r>
      <w:r>
        <w:rPr>
          <w:rFonts w:hint="eastAsia" w:ascii="仿宋" w:hAnsi="仿宋" w:eastAsia="仿宋" w:cs="仿宋"/>
          <w:sz w:val="24"/>
          <w:szCs w:val="24"/>
        </w:rPr>
        <w:t>播控节目表支持自定义颜色</w:t>
      </w:r>
      <w:r>
        <w:rPr>
          <w:rFonts w:hint="eastAsia" w:ascii="仿宋" w:hAnsi="仿宋" w:eastAsia="仿宋" w:cs="仿宋"/>
          <w:sz w:val="24"/>
          <w:szCs w:val="24"/>
          <w:lang w:eastAsia="zh-CN"/>
        </w:rPr>
        <w:t>。</w:t>
      </w:r>
    </w:p>
    <w:p>
      <w:pPr>
        <w:spacing w:line="360" w:lineRule="auto"/>
        <w:ind w:firstLine="0" w:firstLineChars="0"/>
        <w:jc w:val="both"/>
        <w:rPr>
          <w:rFonts w:hint="eastAsia" w:cs="Arial" w:asciiTheme="minorEastAsia" w:hAnsiTheme="minorEastAsia" w:eastAsiaTheme="minorEastAsia"/>
          <w:color w:val="FF0000"/>
          <w:sz w:val="21"/>
          <w:szCs w:val="21"/>
          <w:lang w:eastAsia="zh-CN"/>
        </w:rPr>
      </w:pPr>
    </w:p>
    <w:p>
      <w:pPr>
        <w:spacing w:line="360" w:lineRule="auto"/>
        <w:ind w:firstLine="0" w:firstLineChars="0"/>
        <w:jc w:val="both"/>
        <w:rPr>
          <w:rFonts w:ascii="仿宋" w:hAnsi="仿宋" w:eastAsia="仿宋" w:cs="仿宋"/>
          <w:b/>
          <w:sz w:val="24"/>
          <w:szCs w:val="24"/>
        </w:rPr>
      </w:pPr>
    </w:p>
    <w:p>
      <w:pPr>
        <w:spacing w:line="360" w:lineRule="auto"/>
        <w:ind w:firstLine="0" w:firstLineChars="0"/>
        <w:jc w:val="both"/>
        <w:outlineLvl w:val="1"/>
        <w:rPr>
          <w:rFonts w:ascii="仿宋" w:hAnsi="仿宋" w:eastAsia="仿宋" w:cs="仿宋"/>
          <w:b/>
          <w:sz w:val="24"/>
          <w:szCs w:val="24"/>
        </w:rPr>
      </w:pPr>
      <w:bookmarkStart w:id="3" w:name="_Toc16279"/>
      <w:r>
        <w:rPr>
          <w:rFonts w:hint="eastAsia" w:ascii="仿宋" w:hAnsi="仿宋" w:eastAsia="仿宋" w:cs="仿宋"/>
          <w:b/>
          <w:sz w:val="24"/>
          <w:szCs w:val="24"/>
        </w:rPr>
        <w:t>2.2素材及内容管理</w:t>
      </w:r>
      <w:bookmarkEnd w:id="3"/>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 具备灵活高效的信息资源检索查询功能，具体如下：能够针对入库内容进行高效的信息管理，至少应该具备基于入库时间及信息名关键字查询功能。</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2. 具备上载及转码状态监测功能，可以查看入库的上传进度、转码进度等状态信息。</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3. 支持视频媒体文件的本地上传。</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4. 支持在素材入库的同时自动获取素材的Mediainfo信息，不限于以下信息：分辨率、长度、素材类型、采集时间、有效时间、码率、素材属性等信息。</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5. 手动入库时支持批量入库，且可直观查看入库的进度信息（百分比显示），在入库完成后会有入库完成状态提示。</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6. 支持全格式视频文件入库及预览。</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7. 支持文件批量上传，支持在上传界面中对文件夹进行重命名和上载优先级排序。</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8. 支持自动扫描指定路径并自动上传入库的功能。</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9. 素材上载支持分布是技审，技审包括以下内容：彩条、黑场、静帧、静音错误检测。</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10.上载素材支持三级审核，只有审核通过的素材才能进入节目单播出。</w:t>
      </w:r>
    </w:p>
    <w:p>
      <w:pPr>
        <w:spacing w:line="36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11.支持在素材上载/导入时添加/修改AFD信息。</w:t>
      </w:r>
    </w:p>
    <w:p>
      <w:pPr>
        <w:spacing w:line="36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12.可灵活设定播出节目素材的自动迁移提前量，在提前量内的素材将提前自动迁移至播出服务器本地存储。</w:t>
      </w:r>
    </w:p>
    <w:p>
      <w:pPr>
        <w:spacing w:line="360" w:lineRule="auto"/>
        <w:ind w:firstLine="0" w:firstLineChars="0"/>
        <w:jc w:val="both"/>
        <w:outlineLvl w:val="1"/>
        <w:rPr>
          <w:rFonts w:ascii="仿宋" w:hAnsi="仿宋" w:eastAsia="仿宋" w:cs="仿宋"/>
          <w:b/>
          <w:sz w:val="24"/>
          <w:szCs w:val="24"/>
        </w:rPr>
      </w:pPr>
      <w:bookmarkStart w:id="4" w:name="_Toc22009"/>
      <w:r>
        <w:rPr>
          <w:rFonts w:hint="eastAsia" w:ascii="仿宋" w:hAnsi="仿宋" w:eastAsia="仿宋" w:cs="仿宋"/>
          <w:b/>
          <w:sz w:val="24"/>
          <w:szCs w:val="24"/>
        </w:rPr>
        <w:t>2.3编单管理</w:t>
      </w:r>
      <w:bookmarkEnd w:id="4"/>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1.提供灵活快捷的信息列表管理方式，能够进行灵活的增加、删除、拷贝、粘贴条目、保存等操作，支持单选和批量拷贝、剪切、粘贴及删除操作。</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2.能够对已经编排发布到播出服务器的信息列表，进行重新编排并再次提交播出服务器。</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3.支持多种使用素材及素材组的方式进行编单，支持文件、实时流的混合编单。</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4.播表编辑完成后，支持版权审核（播表审核）及内容审核（预览视频审核）的二级审核机制。可对做好的播表进行统一或者单条审核操作，审核通过才可以发送到播出服务器。</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5.支持任意时间修改信息列表，能够对信息列表进行自动时间计算并进行相关的逻辑检查和纠错。在相邻两日的信息列表衔接冲突和衔接出现空档时应有相应提示，有定时播出任务时应有相应提示。</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6.系统能自动根据信息列表对即将播出的信息检查其存在性以及有效性，要求可对未就绪信息有报警提示。</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7.系统可方便的实现定时播、顺序播出、定时插播、顺序插播等功能。</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定时播出：指定时间播出。</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顺序播出：在之前的信息播出完成后自动开始播出，开始时间由上一条信息长度确定。</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定时插播：在固定的时间进行插播，插播其它信息内容（比如直播流、片花、广告等）。</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顺序插播：在前一条内容播出过程中进行插播，插播时需设置一个不大于前一个内容时长的时间，到此时间时就会进行插播。</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定时插播：连续进行多条插播播出。</w:t>
      </w:r>
    </w:p>
    <w:p>
      <w:pPr>
        <w:numPr>
          <w:ilvl w:val="0"/>
          <w:numId w:val="2"/>
        </w:num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节目单中的字幕支持台标、角标、时钟、飞字、通告字幕等</w:t>
      </w:r>
    </w:p>
    <w:p>
      <w:pPr>
        <w:numPr>
          <w:ilvl w:val="0"/>
          <w:numId w:val="2"/>
        </w:numPr>
        <w:spacing w:line="36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为适应快速编单需求，节目单编辑支持循环粘贴，以快速编辑轮播节目单</w:t>
      </w:r>
    </w:p>
    <w:p>
      <w:pPr>
        <w:spacing w:line="360" w:lineRule="auto"/>
        <w:ind w:firstLine="0" w:firstLineChars="0"/>
        <w:jc w:val="both"/>
        <w:outlineLvl w:val="1"/>
        <w:rPr>
          <w:rFonts w:ascii="仿宋" w:hAnsi="仿宋" w:eastAsia="仿宋" w:cs="仿宋"/>
          <w:b/>
          <w:sz w:val="24"/>
          <w:szCs w:val="24"/>
        </w:rPr>
      </w:pPr>
      <w:bookmarkStart w:id="5" w:name="_Toc24806"/>
      <w:r>
        <w:rPr>
          <w:rFonts w:hint="eastAsia" w:ascii="仿宋" w:hAnsi="仿宋" w:eastAsia="仿宋" w:cs="仿宋"/>
          <w:b/>
          <w:sz w:val="24"/>
          <w:szCs w:val="24"/>
        </w:rPr>
        <w:t>2.4轮播播出功能</w:t>
      </w:r>
      <w:bookmarkEnd w:id="5"/>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1.同时支持50路</w:t>
      </w:r>
      <w:r>
        <w:rPr>
          <w:rFonts w:hint="eastAsia" w:ascii="仿宋" w:hAnsi="仿宋" w:eastAsia="仿宋" w:cs="仿宋"/>
          <w:sz w:val="24"/>
          <w:szCs w:val="24"/>
          <w:lang w:val="en-US" w:eastAsia="zh-CN"/>
        </w:rPr>
        <w:t>主备</w:t>
      </w:r>
      <w:r>
        <w:rPr>
          <w:rFonts w:hint="eastAsia" w:ascii="仿宋" w:hAnsi="仿宋" w:eastAsia="仿宋" w:cs="仿宋"/>
          <w:sz w:val="24"/>
          <w:szCs w:val="24"/>
        </w:rPr>
        <w:t>频道输出（UDP），单个频道码率不小于5M。</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2.播出素材导入支持的格式：MPEG-TS、MPEG-PS、MP4、MOV、VOB、AVI（视频编码格式：MPEG2、WMV、MPEG4、H.264、H.265，音频编码格式：MP2、AAC、MP3、WMA）等主流格式。</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3.编码格式、码率及分辨率输出能够自定义输出，视频编码输出格式MPEG2/MPEG4/H.264/H.265/AVS2，音频编码输出格式：MPGA/AAC/WMA/MP3，双音频不同格式输出，编码参数自定义。</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4.系统核心部件（如电源）等必须具有1：1冗余设计。</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5.输出支持组播、单播的方式，以方便用户的灵活使用。</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6.支持H.264压缩标准播出。</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7.支持信息在HEVC压缩标准下的播出功能。</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 xml:space="preserve">8.支持SD、HD、4K专属信息的播出功能。                      </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9.支持H.264、H.265/HEVC Main/Main 10 Profile编码格式。</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10.必须采用开放式设计，系统对外数据传输端口应采用工业级标准的千兆以太网接口规范, 直接支持NFS共享文件夹等文件传输协议，以保证其与二级存储系统及各服务器系统之间数据传输的互连互通。</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11.服务器视频文件格式支持TS流封装输出，支持全格式信号，</w:t>
      </w:r>
    </w:p>
    <w:p>
      <w:pPr>
        <w:spacing w:line="36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视频: MPEG2/H264/HEVC,4KP25,1080P/720p,SD(PAL/NTSC)</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音频: MPEG1/2/3，AAC,HE-AAC,AC3，Dolby Digital/Plus。</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12.具备RTMP/UDP/HLS等多种标准的流媒体协议输出, 支持主备切换。</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13.支持多级存储在线获取功能，在播出过程中当主存储素材损坏或不存在时自动从备存储读取，如果备存储也不存在则自动从二级存储读取。</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14.支持自主播出功能，当播控机断开后支持自主播出当天节目单，以保证播出安全</w:t>
      </w:r>
    </w:p>
    <w:p>
      <w:pPr>
        <w:spacing w:line="360" w:lineRule="auto"/>
        <w:ind w:firstLine="0" w:firstLineChars="0"/>
        <w:jc w:val="both"/>
        <w:rPr>
          <w:rFonts w:ascii="仿宋" w:hAnsi="仿宋" w:eastAsia="仿宋" w:cs="仿宋"/>
          <w:sz w:val="24"/>
          <w:szCs w:val="24"/>
        </w:rPr>
      </w:pPr>
      <w:r>
        <w:rPr>
          <w:rFonts w:hint="eastAsia" w:ascii="仿宋" w:hAnsi="仿宋" w:eastAsia="仿宋" w:cs="仿宋"/>
          <w:sz w:val="24"/>
          <w:szCs w:val="24"/>
        </w:rPr>
        <w:t>15.每个播出通道均支持实时预览，并且可查看每条播出节目的日志</w:t>
      </w:r>
    </w:p>
    <w:p>
      <w:pPr>
        <w:pStyle w:val="16"/>
        <w:numPr>
          <w:ilvl w:val="0"/>
          <w:numId w:val="1"/>
        </w:numPr>
        <w:spacing w:line="360" w:lineRule="auto"/>
        <w:ind w:firstLineChars="0"/>
        <w:jc w:val="both"/>
        <w:outlineLvl w:val="0"/>
        <w:rPr>
          <w:rFonts w:ascii="仿宋" w:hAnsi="仿宋" w:eastAsia="仿宋" w:cs="仿宋"/>
          <w:b/>
          <w:sz w:val="24"/>
          <w:szCs w:val="24"/>
        </w:rPr>
      </w:pPr>
      <w:bookmarkStart w:id="6" w:name="_Toc14358"/>
      <w:bookmarkStart w:id="7" w:name="_Toc35505488"/>
      <w:r>
        <w:rPr>
          <w:rFonts w:hint="eastAsia" w:ascii="仿宋" w:hAnsi="仿宋" w:eastAsia="仿宋" w:cs="仿宋"/>
          <w:b/>
          <w:sz w:val="24"/>
          <w:szCs w:val="24"/>
        </w:rPr>
        <w:t>售后服务</w:t>
      </w:r>
      <w:bookmarkEnd w:id="6"/>
      <w:bookmarkEnd w:id="7"/>
    </w:p>
    <w:p>
      <w:pPr>
        <w:pStyle w:val="3"/>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承诺对江西IPTV</w:t>
      </w:r>
      <w:r>
        <w:rPr>
          <w:rFonts w:hint="eastAsia" w:ascii="仿宋" w:hAnsi="仿宋" w:eastAsia="仿宋" w:cs="仿宋"/>
          <w:sz w:val="24"/>
          <w:szCs w:val="24"/>
          <w:lang w:eastAsia="zh-CN"/>
        </w:rPr>
        <w:t>轮播</w:t>
      </w:r>
      <w:r>
        <w:rPr>
          <w:rFonts w:hint="eastAsia" w:ascii="仿宋" w:hAnsi="仿宋" w:eastAsia="仿宋" w:cs="仿宋"/>
          <w:sz w:val="24"/>
          <w:szCs w:val="24"/>
        </w:rPr>
        <w:t>系统项目自验收合格起提供三年免费质保</w:t>
      </w:r>
      <w:r>
        <w:rPr>
          <w:rFonts w:hint="eastAsia" w:ascii="仿宋" w:hAnsi="仿宋" w:eastAsia="仿宋" w:cs="仿宋"/>
          <w:sz w:val="24"/>
          <w:szCs w:val="24"/>
          <w:lang w:val="zh-CN"/>
        </w:rPr>
        <w:t>。</w:t>
      </w:r>
    </w:p>
    <w:p>
      <w:pPr>
        <w:spacing w:line="360" w:lineRule="auto"/>
        <w:ind w:firstLine="0" w:firstLineChars="0"/>
        <w:jc w:val="both"/>
        <w:rPr>
          <w:rFonts w:ascii="仿宋" w:hAnsi="仿宋" w:eastAsia="仿宋" w:cs="仿宋"/>
          <w:sz w:val="24"/>
          <w:szCs w:val="24"/>
        </w:rPr>
      </w:pPr>
    </w:p>
    <w:bookmarkEnd w:id="8"/>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262"/>
    <w:multiLevelType w:val="multilevel"/>
    <w:tmpl w:val="055C52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7CD6E6"/>
    <w:multiLevelType w:val="singleLevel"/>
    <w:tmpl w:val="787CD6E6"/>
    <w:lvl w:ilvl="0" w:tentative="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4E"/>
    <w:rsid w:val="00004034"/>
    <w:rsid w:val="00045CD7"/>
    <w:rsid w:val="00087AEE"/>
    <w:rsid w:val="001232CE"/>
    <w:rsid w:val="00155E09"/>
    <w:rsid w:val="00233EED"/>
    <w:rsid w:val="002947AB"/>
    <w:rsid w:val="00297D9E"/>
    <w:rsid w:val="002B1645"/>
    <w:rsid w:val="002F3C1C"/>
    <w:rsid w:val="00320059"/>
    <w:rsid w:val="003246C5"/>
    <w:rsid w:val="003340B7"/>
    <w:rsid w:val="00334906"/>
    <w:rsid w:val="00492314"/>
    <w:rsid w:val="0052226D"/>
    <w:rsid w:val="00543E24"/>
    <w:rsid w:val="0058114E"/>
    <w:rsid w:val="005C2D57"/>
    <w:rsid w:val="00606A57"/>
    <w:rsid w:val="008726B4"/>
    <w:rsid w:val="00960002"/>
    <w:rsid w:val="009D04D4"/>
    <w:rsid w:val="00A47DD4"/>
    <w:rsid w:val="00B62942"/>
    <w:rsid w:val="00C80BF5"/>
    <w:rsid w:val="00C90141"/>
    <w:rsid w:val="00D0313A"/>
    <w:rsid w:val="00D713FF"/>
    <w:rsid w:val="00DF2C9F"/>
    <w:rsid w:val="00E2473E"/>
    <w:rsid w:val="00E9661F"/>
    <w:rsid w:val="00EA27BD"/>
    <w:rsid w:val="00F04632"/>
    <w:rsid w:val="00F569C1"/>
    <w:rsid w:val="02C526DF"/>
    <w:rsid w:val="16F36CE9"/>
    <w:rsid w:val="240465F8"/>
    <w:rsid w:val="2558697C"/>
    <w:rsid w:val="2B286705"/>
    <w:rsid w:val="41AF74BF"/>
    <w:rsid w:val="46407114"/>
    <w:rsid w:val="4D801D28"/>
    <w:rsid w:val="4D935EEA"/>
    <w:rsid w:val="52AD6023"/>
    <w:rsid w:val="5C234E7B"/>
    <w:rsid w:val="5DB60BA7"/>
    <w:rsid w:val="626F3563"/>
    <w:rsid w:val="683B2AC0"/>
    <w:rsid w:val="6D135A3C"/>
    <w:rsid w:val="76066FD0"/>
    <w:rsid w:val="776F6E1C"/>
    <w:rsid w:val="79883BE3"/>
    <w:rsid w:val="7B5576A7"/>
    <w:rsid w:val="7CE7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200" w:firstLineChars="200"/>
    </w:pPr>
    <w:rPr>
      <w:rFonts w:ascii="微软雅黑" w:hAnsi="微软雅黑" w:eastAsia="楷体_GB2312" w:cs="Times New Roman"/>
      <w:kern w:val="2"/>
      <w:sz w:val="28"/>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Plain Text"/>
    <w:basedOn w:val="1"/>
    <w:qFormat/>
    <w:uiPriority w:val="99"/>
    <w:rPr>
      <w:rFonts w:ascii="宋体" w:hAnsi="Courier New"/>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20"/>
    <w:semiHidden/>
    <w:unhideWhenUsed/>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character" w:styleId="12">
    <w:name w:val="annotation reference"/>
    <w:basedOn w:val="11"/>
    <w:semiHidden/>
    <w:unhideWhenUsed/>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日期 字符"/>
    <w:basedOn w:val="11"/>
    <w:link w:val="4"/>
    <w:semiHidden/>
    <w:qFormat/>
    <w:uiPriority w:val="99"/>
    <w:rPr>
      <w:rFonts w:ascii="微软雅黑" w:hAnsi="微软雅黑" w:eastAsia="楷体_GB2312" w:cs="Times New Roman"/>
      <w:sz w:val="28"/>
    </w:rPr>
  </w:style>
  <w:style w:type="paragraph" w:styleId="16">
    <w:name w:val="List Paragraph"/>
    <w:basedOn w:val="1"/>
    <w:qFormat/>
    <w:uiPriority w:val="34"/>
    <w:pPr>
      <w:ind w:firstLine="420"/>
    </w:pPr>
  </w:style>
  <w:style w:type="paragraph" w:customStyle="1" w:styleId="17">
    <w:name w:val="WPSOffice手动目录 1"/>
    <w:qFormat/>
    <w:uiPriority w:val="0"/>
    <w:rPr>
      <w:rFonts w:asciiTheme="minorHAnsi" w:hAnsiTheme="minorHAnsi" w:eastAsiaTheme="minorEastAsia" w:cstheme="minorBidi"/>
      <w:lang w:val="en-US" w:eastAsia="zh-CN" w:bidi="ar-SA"/>
    </w:rPr>
  </w:style>
  <w:style w:type="paragraph" w:customStyle="1" w:styleId="1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9">
    <w:name w:val="列出段落11"/>
    <w:basedOn w:val="1"/>
    <w:qFormat/>
    <w:uiPriority w:val="34"/>
    <w:pPr>
      <w:widowControl/>
      <w:spacing w:after="200" w:line="276" w:lineRule="auto"/>
      <w:ind w:left="720"/>
      <w:contextualSpacing/>
    </w:pPr>
    <w:rPr>
      <w:rFonts w:ascii="Calibri" w:hAnsi="Calibri"/>
      <w:kern w:val="0"/>
      <w:sz w:val="22"/>
    </w:rPr>
  </w:style>
  <w:style w:type="character" w:customStyle="1" w:styleId="20">
    <w:name w:val="批注框文本 字符"/>
    <w:basedOn w:val="11"/>
    <w:link w:val="5"/>
    <w:semiHidden/>
    <w:uiPriority w:val="99"/>
    <w:rPr>
      <w:rFonts w:ascii="微软雅黑" w:hAnsi="微软雅黑" w:eastAsia="楷体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503</Words>
  <Characters>2872</Characters>
  <Lines>23</Lines>
  <Paragraphs>6</Paragraphs>
  <TotalTime>1</TotalTime>
  <ScaleCrop>false</ScaleCrop>
  <LinksUpToDate>false</LinksUpToDate>
  <CharactersWithSpaces>3369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2020-03-17T06:58:00Z</dcterms:created>
  <dc:creator>jxetv</dc:creator>
  <cp:lastModifiedBy>江西IPTV --张思维</cp:lastModifiedBy>
  <dcterms:modified xsi:type="dcterms:W3CDTF">2020-08-19T00:58:08Z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