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84"/>
          <w:szCs w:val="84"/>
        </w:rPr>
      </w:pPr>
      <w:r>
        <w:rPr>
          <w:rFonts w:hint="eastAsia" w:ascii="黑体" w:eastAsia="黑体"/>
          <w:b/>
          <w:sz w:val="84"/>
          <w:szCs w:val="84"/>
        </w:rPr>
        <w:t>询价文件</w:t>
      </w:r>
    </w:p>
    <w:p>
      <w:pPr>
        <w:jc w:val="center"/>
        <w:rPr>
          <w:rFonts w:ascii="仿宋_GB2312" w:eastAsia="仿宋_GB2312"/>
          <w:b/>
          <w:sz w:val="30"/>
          <w:szCs w:val="30"/>
        </w:rPr>
      </w:pPr>
      <w:r>
        <w:rPr>
          <w:rFonts w:hint="eastAsia" w:ascii="仿宋_GB2312" w:eastAsia="仿宋_GB2312"/>
          <w:b/>
          <w:sz w:val="30"/>
          <w:szCs w:val="30"/>
        </w:rPr>
        <w:t>第一部分　询价邀请</w:t>
      </w:r>
    </w:p>
    <w:p>
      <w:r>
        <w:rPr>
          <w:rFonts w:hint="eastAsia"/>
        </w:rPr>
        <w:t>　　</w:t>
      </w:r>
      <w:r>
        <w:t xml:space="preserve"> </w:t>
      </w:r>
      <w:r>
        <w:rPr>
          <w:rFonts w:hint="eastAsia"/>
        </w:rPr>
        <w:t>我台将</w:t>
      </w:r>
      <w:r>
        <w:rPr>
          <w:rFonts w:hint="eastAsia"/>
          <w:b/>
          <w:bCs/>
        </w:rPr>
        <w:t>采购基带信号多画面分割器</w:t>
      </w:r>
      <w:r>
        <w:rPr>
          <w:rFonts w:hint="eastAsia"/>
        </w:rPr>
        <w:t>设备两套（详见第二部分），项目预算十</w:t>
      </w:r>
      <w:r>
        <w:rPr>
          <w:rFonts w:hint="eastAsia"/>
          <w:lang w:val="en-US" w:eastAsia="zh-CN"/>
        </w:rPr>
        <w:t>三</w:t>
      </w:r>
      <w:r>
        <w:rPr>
          <w:rFonts w:hint="eastAsia"/>
        </w:rPr>
        <w:t>万元。现邀请国内合格供货商进行询价。</w:t>
      </w:r>
    </w:p>
    <w:p>
      <w:pPr>
        <w:ind w:firstLine="460" w:firstLineChars="200"/>
      </w:pPr>
      <w:r>
        <w:rPr>
          <w:rFonts w:hint="eastAsia"/>
          <w:b/>
        </w:rPr>
        <w:t>询价截止时间：</w:t>
      </w:r>
    </w:p>
    <w:p>
      <w:pPr>
        <w:ind w:firstLine="460" w:firstLineChars="200"/>
      </w:pPr>
      <w:r>
        <w:rPr>
          <w:rFonts w:hint="eastAsia"/>
        </w:rPr>
        <w:t>具备合格资格的投标人可于即日起</w:t>
      </w:r>
      <w:r>
        <w:rPr>
          <w:rFonts w:hint="eastAsia"/>
          <w:color w:val="000000"/>
        </w:rPr>
        <w:t>至</w:t>
      </w:r>
      <w:r>
        <w:rPr>
          <w:color w:val="000000"/>
        </w:rPr>
        <w:t>202</w:t>
      </w:r>
      <w:r>
        <w:rPr>
          <w:rFonts w:hint="eastAsia"/>
          <w:color w:val="000000"/>
          <w:lang w:val="en-US" w:eastAsia="zh-CN"/>
        </w:rPr>
        <w:t>3</w:t>
      </w:r>
      <w:r>
        <w:rPr>
          <w:rFonts w:hint="eastAsia"/>
          <w:color w:val="000000"/>
        </w:rPr>
        <w:t>年</w:t>
      </w:r>
      <w:r>
        <w:rPr>
          <w:rFonts w:hint="eastAsia"/>
          <w:color w:val="000000"/>
          <w:lang w:val="en-US" w:eastAsia="zh-CN"/>
        </w:rPr>
        <w:t>7</w:t>
      </w:r>
      <w:r>
        <w:rPr>
          <w:rFonts w:hint="eastAsia"/>
          <w:color w:val="000000"/>
        </w:rPr>
        <w:t>月</w:t>
      </w:r>
      <w:r>
        <w:rPr>
          <w:rFonts w:hint="eastAsia"/>
          <w:color w:val="000000"/>
          <w:lang w:val="en-US" w:eastAsia="zh-CN"/>
        </w:rPr>
        <w:t>14</w:t>
      </w:r>
      <w:r>
        <w:rPr>
          <w:rFonts w:hint="eastAsia"/>
          <w:color w:val="000000"/>
        </w:rPr>
        <w:t>日止</w:t>
      </w:r>
      <w:r>
        <w:rPr>
          <w:rFonts w:hint="eastAsia"/>
        </w:rPr>
        <w:t>向我台</w:t>
      </w:r>
      <w:r>
        <w:rPr>
          <w:rFonts w:hint="eastAsia"/>
          <w:color w:val="000000"/>
        </w:rPr>
        <w:t>科技发展中心</w:t>
      </w:r>
      <w:r>
        <w:rPr>
          <w:rFonts w:hint="eastAsia"/>
        </w:rPr>
        <w:t>获取询价文件，每份询价文件定价为人民币零元整</w:t>
      </w:r>
      <w:r>
        <w:t>(</w:t>
      </w:r>
      <w:r>
        <w:rPr>
          <w:rFonts w:hint="eastAsia"/>
        </w:rPr>
        <w:t>￥</w:t>
      </w:r>
      <w:r>
        <w:t>0.00)</w:t>
      </w:r>
      <w:r>
        <w:rPr>
          <w:rFonts w:hint="eastAsia"/>
        </w:rPr>
        <w:t>。本次询价不设保证金。</w:t>
      </w:r>
    </w:p>
    <w:p>
      <w:pPr>
        <w:ind w:firstLine="460" w:firstLineChars="200"/>
      </w:pPr>
      <w:r>
        <w:rPr>
          <w:rFonts w:hint="eastAsia"/>
        </w:rPr>
        <w:t>投标文件请</w:t>
      </w:r>
      <w:r>
        <w:rPr>
          <w:rFonts w:hint="eastAsia"/>
          <w:color w:val="000000"/>
        </w:rPr>
        <w:t>于</w:t>
      </w:r>
      <w:r>
        <w:rPr>
          <w:color w:val="000000"/>
        </w:rPr>
        <w:t>202</w:t>
      </w:r>
      <w:r>
        <w:rPr>
          <w:rFonts w:hint="eastAsia"/>
          <w:color w:val="000000"/>
          <w:lang w:val="en-US" w:eastAsia="zh-CN"/>
        </w:rPr>
        <w:t>3</w:t>
      </w:r>
      <w:r>
        <w:rPr>
          <w:rFonts w:hint="eastAsia"/>
          <w:color w:val="000000"/>
        </w:rPr>
        <w:t>年</w:t>
      </w:r>
      <w:r>
        <w:rPr>
          <w:rFonts w:hint="eastAsia"/>
          <w:color w:val="000000"/>
          <w:lang w:val="en-US" w:eastAsia="zh-CN"/>
        </w:rPr>
        <w:t>7</w:t>
      </w:r>
      <w:r>
        <w:rPr>
          <w:rFonts w:hint="eastAsia"/>
          <w:color w:val="000000"/>
        </w:rPr>
        <w:t>月</w:t>
      </w:r>
      <w:r>
        <w:rPr>
          <w:rFonts w:hint="eastAsia"/>
          <w:color w:val="000000"/>
          <w:lang w:val="en-US" w:eastAsia="zh-CN"/>
        </w:rPr>
        <w:t>14</w:t>
      </w:r>
      <w:r>
        <w:rPr>
          <w:rFonts w:hint="eastAsia"/>
          <w:color w:val="000000"/>
        </w:rPr>
        <w:t>日</w:t>
      </w:r>
      <w:r>
        <w:rPr>
          <w:color w:val="000000"/>
        </w:rPr>
        <w:t>12:00</w:t>
      </w:r>
      <w:r>
        <w:rPr>
          <w:rFonts w:hint="eastAsia"/>
          <w:color w:val="000000"/>
        </w:rPr>
        <w:t>前</w:t>
      </w:r>
      <w:r>
        <w:rPr>
          <w:rFonts w:hint="eastAsia"/>
        </w:rPr>
        <w:t>递交至江西广播电视台科技发展中心，逾期或不符合规定的投标文件恕不接受</w:t>
      </w:r>
      <w:bookmarkStart w:id="0" w:name="_GoBack"/>
      <w:bookmarkEnd w:id="0"/>
    </w:p>
    <w:p>
      <w:pPr>
        <w:ind w:firstLine="460" w:firstLineChars="200"/>
      </w:pPr>
      <w:r>
        <w:rPr>
          <w:rFonts w:hint="eastAsia"/>
          <w:b/>
        </w:rPr>
        <w:t>开标时间：</w:t>
      </w:r>
      <w:r>
        <w:rPr>
          <w:color w:val="000000"/>
        </w:rPr>
        <w:t>202</w:t>
      </w:r>
      <w:r>
        <w:rPr>
          <w:rFonts w:hint="eastAsia"/>
          <w:color w:val="000000"/>
          <w:lang w:val="en-US" w:eastAsia="zh-CN"/>
        </w:rPr>
        <w:t>3</w:t>
      </w:r>
      <w:r>
        <w:rPr>
          <w:rFonts w:hint="eastAsia"/>
          <w:color w:val="000000"/>
        </w:rPr>
        <w:t>年</w:t>
      </w:r>
      <w:r>
        <w:rPr>
          <w:rFonts w:hint="eastAsia"/>
          <w:color w:val="000000"/>
          <w:lang w:val="en-US" w:eastAsia="zh-CN"/>
        </w:rPr>
        <w:t>7</w:t>
      </w:r>
      <w:r>
        <w:rPr>
          <w:rFonts w:hint="eastAsia"/>
          <w:color w:val="000000"/>
        </w:rPr>
        <w:t>月</w:t>
      </w:r>
      <w:r>
        <w:rPr>
          <w:rFonts w:hint="eastAsia"/>
          <w:color w:val="000000"/>
          <w:lang w:val="en-US" w:eastAsia="zh-CN"/>
        </w:rPr>
        <w:t>14</w:t>
      </w:r>
      <w:r>
        <w:rPr>
          <w:rFonts w:hint="eastAsia"/>
          <w:color w:val="000000"/>
        </w:rPr>
        <w:t>日下午</w:t>
      </w:r>
      <w:r>
        <w:rPr>
          <w:color w:val="000000"/>
        </w:rPr>
        <w:t>1</w:t>
      </w:r>
      <w:r>
        <w:rPr>
          <w:rFonts w:hint="eastAsia"/>
          <w:color w:val="000000"/>
          <w:lang w:val="en-US" w:eastAsia="zh-CN"/>
        </w:rPr>
        <w:t>4</w:t>
      </w:r>
      <w:r>
        <w:rPr>
          <w:rFonts w:hint="eastAsia"/>
          <w:color w:val="000000"/>
        </w:rPr>
        <w:t>：</w:t>
      </w:r>
      <w:r>
        <w:rPr>
          <w:color w:val="000000"/>
        </w:rPr>
        <w:t>30</w:t>
      </w:r>
      <w:r>
        <w:rPr>
          <w:rFonts w:hint="eastAsia"/>
          <w:color w:val="000000"/>
        </w:rPr>
        <w:t>（公司可不派人到现场，届时请各报价公司联系人保持通讯畅通，接受台方可能的咨询及二次报价）</w:t>
      </w:r>
    </w:p>
    <w:p>
      <w:pPr>
        <w:ind w:firstLine="460" w:firstLineChars="200"/>
      </w:pPr>
      <w:r>
        <w:rPr>
          <w:rFonts w:hint="eastAsia"/>
          <w:b/>
        </w:rPr>
        <w:t>开标地点：</w:t>
      </w:r>
      <w:r>
        <w:rPr>
          <w:rFonts w:hint="eastAsia"/>
        </w:rPr>
        <w:t>江西广播电视台台内</w:t>
      </w:r>
    </w:p>
    <w:p>
      <w:pPr>
        <w:ind w:firstLine="460" w:firstLineChars="200"/>
      </w:pPr>
      <w:r>
        <w:rPr>
          <w:rFonts w:hint="eastAsia"/>
          <w:b/>
          <w:bCs/>
        </w:rPr>
        <w:t>项目编号：</w:t>
      </w:r>
    </w:p>
    <w:p>
      <w:pPr>
        <w:ind w:firstLine="460" w:firstLineChars="200"/>
        <w:rPr>
          <w:b/>
        </w:rPr>
      </w:pPr>
      <w:r>
        <w:rPr>
          <w:rFonts w:hint="eastAsia"/>
          <w:b/>
        </w:rPr>
        <w:t>投标要求：</w:t>
      </w:r>
    </w:p>
    <w:p>
      <w:pPr>
        <w:ind w:firstLine="460" w:firstLineChars="200"/>
      </w:pPr>
      <w:r>
        <w:t>1</w:t>
      </w:r>
      <w:r>
        <w:rPr>
          <w:rFonts w:hint="eastAsia"/>
        </w:rPr>
        <w:t>、投标报价及其他投标声明（如有）应封装在一个文件内，并由联系人（提供联系电话）签字、提供联系方式并加盖投标人公章。投标报价中需要明确所投品牌、型号规格、产地、价格等，并实质响应及满足第二部分所有内容。</w:t>
      </w:r>
    </w:p>
    <w:p>
      <w:pPr>
        <w:ind w:firstLine="460" w:firstLineChars="200"/>
      </w:pPr>
      <w:r>
        <w:t>2</w:t>
      </w:r>
      <w:r>
        <w:rPr>
          <w:rFonts w:hint="eastAsia"/>
        </w:rPr>
        <w:t>、其他内容：请报价公司提供营业执照复印件（或扫描件）、法人授权书（如联系人非法人请提供，联系人请提供联系方式）、售后服务承诺书、产品彩页或技术资料等。以上材料请加盖投标人公章。</w:t>
      </w:r>
    </w:p>
    <w:p>
      <w:pPr>
        <w:ind w:firstLine="460" w:firstLineChars="200"/>
        <w:rPr>
          <w:b/>
        </w:rPr>
      </w:pPr>
      <w:r>
        <w:rPr>
          <w:rFonts w:hint="eastAsia"/>
        </w:rPr>
        <w:t>成交方式：采用“最低价成交”方式成交，若成交价高于预算价，本次招标无效</w:t>
      </w:r>
    </w:p>
    <w:p>
      <w:pPr>
        <w:ind w:firstLine="460" w:firstLineChars="200"/>
        <w:rPr>
          <w:rFonts w:hint="eastAsia"/>
          <w:b/>
        </w:rPr>
      </w:pPr>
    </w:p>
    <w:p>
      <w:pPr>
        <w:ind w:firstLine="460" w:firstLineChars="200"/>
        <w:rPr>
          <w:b/>
        </w:rPr>
      </w:pPr>
      <w:r>
        <w:rPr>
          <w:rFonts w:hint="eastAsia"/>
          <w:b/>
        </w:rPr>
        <w:t>招标方联系方式：</w:t>
      </w:r>
    </w:p>
    <w:p>
      <w:pPr>
        <w:ind w:firstLine="460" w:firstLineChars="200"/>
      </w:pPr>
      <w:r>
        <w:rPr>
          <w:rFonts w:hint="eastAsia"/>
        </w:rPr>
        <w:t>联系人：盛洪</w:t>
      </w:r>
    </w:p>
    <w:p>
      <w:pPr>
        <w:ind w:firstLine="460" w:firstLineChars="200"/>
      </w:pPr>
      <w:r>
        <w:rPr>
          <w:rFonts w:hint="eastAsia"/>
        </w:rPr>
        <w:t>电</w:t>
      </w:r>
      <w:r>
        <w:t xml:space="preserve">  </w:t>
      </w:r>
      <w:r>
        <w:rPr>
          <w:rFonts w:hint="eastAsia"/>
        </w:rPr>
        <w:t>话：13767139951</w:t>
      </w:r>
    </w:p>
    <w:p>
      <w:pPr>
        <w:ind w:firstLine="460" w:firstLineChars="200"/>
      </w:pPr>
      <w:r>
        <w:t xml:space="preserve"> </w:t>
      </w:r>
    </w:p>
    <w:p>
      <w:pPr>
        <w:ind w:firstLine="460" w:firstLineChars="200"/>
      </w:pPr>
      <w:r>
        <w:rPr>
          <w:rFonts w:hint="eastAsia"/>
        </w:rPr>
        <w:t>采购方地址：江西省南昌市洪都中大道</w:t>
      </w:r>
      <w:r>
        <w:t>207</w:t>
      </w:r>
      <w:r>
        <w:rPr>
          <w:rFonts w:hint="eastAsia"/>
        </w:rPr>
        <w:t>号江西广播电视台制作部，邮编：</w:t>
      </w:r>
      <w:r>
        <w:t>330046</w:t>
      </w:r>
    </w:p>
    <w:p>
      <w:pPr>
        <w:ind w:firstLine="515" w:firstLineChars="224"/>
      </w:pPr>
      <w:r>
        <w:rPr>
          <w:rFonts w:hint="eastAsia" w:ascii="新宋体" w:hAnsi="新宋体" w:eastAsia="新宋体"/>
          <w:b/>
        </w:rPr>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pPr>
        <w:spacing w:line="360" w:lineRule="auto"/>
        <w:jc w:val="center"/>
        <w:rPr>
          <w:rFonts w:ascii="仿宋_GB2312" w:eastAsia="仿宋_GB2312"/>
          <w:b/>
          <w:sz w:val="30"/>
          <w:szCs w:val="30"/>
        </w:rPr>
      </w:pPr>
      <w:r>
        <w:rPr>
          <w:rFonts w:ascii="仿宋_GB2312" w:eastAsia="仿宋_GB2312"/>
          <w:b/>
          <w:sz w:val="30"/>
          <w:szCs w:val="30"/>
        </w:rPr>
        <w:br w:type="page"/>
      </w:r>
      <w:r>
        <w:rPr>
          <w:rFonts w:hint="eastAsia" w:ascii="仿宋_GB2312" w:eastAsia="仿宋_GB2312"/>
          <w:b/>
          <w:sz w:val="30"/>
          <w:szCs w:val="30"/>
        </w:rPr>
        <w:t>第二部分</w:t>
      </w:r>
      <w:r>
        <w:rPr>
          <w:rFonts w:ascii="仿宋_GB2312" w:eastAsia="仿宋_GB2312"/>
          <w:b/>
          <w:sz w:val="30"/>
          <w:szCs w:val="30"/>
        </w:rPr>
        <w:t xml:space="preserve">   </w:t>
      </w:r>
      <w:r>
        <w:rPr>
          <w:rFonts w:hint="eastAsia" w:ascii="仿宋_GB2312" w:eastAsia="仿宋_GB2312"/>
          <w:b/>
          <w:sz w:val="30"/>
          <w:szCs w:val="30"/>
        </w:rPr>
        <w:t>技术规格及相关要求</w:t>
      </w:r>
    </w:p>
    <w:tbl>
      <w:tblPr>
        <w:tblStyle w:val="11"/>
        <w:tblpPr w:leftFromText="180" w:rightFromText="180" w:vertAnchor="text" w:horzAnchor="page" w:tblpX="1154" w:tblpY="808"/>
        <w:tblOverlap w:val="never"/>
        <w:tblW w:w="9420" w:type="dxa"/>
        <w:tblInd w:w="0" w:type="dxa"/>
        <w:shd w:val="clear" w:color="auto" w:fill="auto"/>
        <w:tblLayout w:type="fixed"/>
        <w:tblCellMar>
          <w:top w:w="0" w:type="dxa"/>
          <w:left w:w="0" w:type="dxa"/>
          <w:bottom w:w="0" w:type="dxa"/>
          <w:right w:w="0" w:type="dxa"/>
        </w:tblCellMar>
      </w:tblPr>
      <w:tblGrid>
        <w:gridCol w:w="440"/>
        <w:gridCol w:w="433"/>
        <w:gridCol w:w="7605"/>
        <w:gridCol w:w="477"/>
        <w:gridCol w:w="465"/>
      </w:tblGrid>
      <w:tr>
        <w:tblPrEx>
          <w:shd w:val="clear" w:color="auto" w:fill="auto"/>
          <w:tblCellMar>
            <w:top w:w="0" w:type="dxa"/>
            <w:left w:w="0" w:type="dxa"/>
            <w:bottom w:w="0" w:type="dxa"/>
            <w:right w:w="0" w:type="dxa"/>
          </w:tblCellMar>
        </w:tblPrEx>
        <w:trPr>
          <w:trHeight w:val="446" w:hRule="atLeast"/>
        </w:trPr>
        <w:tc>
          <w:tcPr>
            <w:tcW w:w="9420" w:type="dxa"/>
            <w:gridSpan w:val="5"/>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系统设备清单</w:t>
            </w:r>
          </w:p>
        </w:tc>
      </w:tr>
      <w:tr>
        <w:tblPrEx>
          <w:shd w:val="clear" w:color="auto" w:fill="auto"/>
          <w:tblCellMar>
            <w:top w:w="0" w:type="dxa"/>
            <w:left w:w="0" w:type="dxa"/>
            <w:bottom w:w="0" w:type="dxa"/>
            <w:right w:w="0" w:type="dxa"/>
          </w:tblCellMar>
        </w:tblPrEx>
        <w:trPr>
          <w:trHeight w:val="871" w:hRule="atLeast"/>
        </w:trPr>
        <w:tc>
          <w:tcPr>
            <w:tcW w:w="44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33"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设备名称</w:t>
            </w:r>
          </w:p>
        </w:tc>
        <w:tc>
          <w:tcPr>
            <w:tcW w:w="760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配  置  说  明</w:t>
            </w:r>
          </w:p>
        </w:tc>
        <w:tc>
          <w:tcPr>
            <w:tcW w:w="477"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r>
      <w:tr>
        <w:tblPrEx>
          <w:shd w:val="clear" w:color="auto" w:fill="auto"/>
          <w:tblCellMar>
            <w:top w:w="0" w:type="dxa"/>
            <w:left w:w="0" w:type="dxa"/>
            <w:bottom w:w="0" w:type="dxa"/>
            <w:right w:w="0" w:type="dxa"/>
          </w:tblCellMar>
        </w:tblPrEx>
        <w:trPr>
          <w:trHeight w:val="8102" w:hRule="atLeast"/>
        </w:trPr>
        <w:tc>
          <w:tcPr>
            <w:tcW w:w="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基带信号多画面分割器</w:t>
            </w:r>
          </w:p>
        </w:tc>
        <w:tc>
          <w:tcPr>
            <w:tcW w:w="7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1"/>
              </w:numPr>
              <w:suppressLineNumbers w:val="0"/>
              <w:jc w:val="left"/>
              <w:textAlignment w:val="center"/>
              <w:rPr>
                <w:rFonts w:hint="eastAsia"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不少于18路3G/HD/SD-SDI输入，不少于4路兼容CVBS，1路支持HDMI输入。每路SDI、HDMI输入支持8声道内嵌音频</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2、不少于4路HDMI输出和4路3G/HD-SDI多画面输出，SDI输出与HDMI输出内容相同</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3、4路输出可拼接成3840×2160分辨率，输入信号可在4屏输出之间任意拼接、布局；支持同一信号源在多个大小不同的窗口显示；支持输入信号放大到全屏显示</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4、支持2声道模拟音频耳机监听，支持2声道模拟音频LINE OUT监听，支持2声道SDI、HDMI内嵌音频监听</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5、支持远程网络配置</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6、支持视频窗口、音频表、时钟、Tally、动态UMD等显示元素，支持LTC和NTP校时，支持信号检测报警</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7、▲HD-SDI输出接口特性：10Hz高通滤波下的抖动不超过0.2UI。</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8、▲支持对无信号、黑场、静帧、音量过高、静音等信号异常情况检测的语音报警，延时不高于0.5秒</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9、▲通过软件控制实现布局模板切换操作的切换延迟时间不高于0.7秒</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10、▲支持通过本机按键切换布局模板</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11、▲通过移动端APP控制实现布局模板切换控制的延迟时间不高于0.6秒</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12、标配冗余电源（110-220 V，50-60 Hz）；标准1RU机架式安装设备</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13、以上“▲”标注的参数需提供广电总局检测报告复印件加盖原厂公章资料。</w:t>
            </w: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p>
        </w:tc>
        <w:tc>
          <w:tcPr>
            <w:tcW w:w="4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台</w:t>
            </w:r>
          </w:p>
        </w:tc>
      </w:tr>
    </w:tbl>
    <w:p>
      <w:pPr>
        <w:ind w:firstLine="460" w:firstLineChars="200"/>
        <w:rPr>
          <w:rFonts w:ascii="黑体" w:hAnsi="宋体" w:eastAsia="黑体" w:cs="宋体"/>
          <w:b/>
          <w:bCs/>
          <w:kern w:val="0"/>
        </w:rPr>
      </w:pPr>
      <w:r>
        <w:rPr>
          <w:rFonts w:hint="eastAsia" w:ascii="宋体" w:hAnsi="宋体"/>
          <w:b/>
        </w:rPr>
        <w:t>一、设备清单</w:t>
      </w:r>
      <w:r>
        <w:rPr>
          <w:rFonts w:hint="eastAsia" w:ascii="宋体" w:hAnsi="宋体"/>
          <w:b/>
          <w:lang w:val="en-US" w:eastAsia="zh-CN"/>
        </w:rPr>
        <w:t>及</w:t>
      </w:r>
      <w:r>
        <w:rPr>
          <w:rFonts w:hint="eastAsia" w:ascii="宋体" w:hAnsi="宋体"/>
          <w:b/>
        </w:rPr>
        <w:t>详细需求、</w:t>
      </w:r>
      <w:r>
        <w:rPr>
          <w:rFonts w:hint="eastAsia" w:ascii="黑体" w:hAnsi="宋体" w:eastAsia="黑体" w:cs="宋体"/>
          <w:b/>
          <w:bCs/>
          <w:kern w:val="0"/>
        </w:rPr>
        <w:t>技术规格、指标要求</w:t>
      </w:r>
    </w:p>
    <w:p>
      <w:pPr>
        <w:ind w:firstLine="451" w:firstLineChars="196"/>
        <w:rPr>
          <w:rFonts w:ascii="宋体"/>
          <w:bCs/>
        </w:rPr>
      </w:pPr>
      <w:r>
        <w:rPr>
          <w:rFonts w:hint="eastAsia" w:ascii="宋体" w:hAnsi="宋体"/>
          <w:bCs/>
        </w:rPr>
        <w:t>以上设备清单为我台为完成本次项目技术要求的最低配置或标准配置，报价公司可根据自己设备的技术架构及特点合理调配或设计，但请说明原因。</w:t>
      </w:r>
    </w:p>
    <w:p>
      <w:pPr>
        <w:ind w:firstLine="451" w:firstLineChars="196"/>
        <w:rPr>
          <w:rFonts w:ascii="宋体"/>
          <w:bCs/>
        </w:rPr>
      </w:pPr>
    </w:p>
    <w:p>
      <w:pPr>
        <w:ind w:firstLine="451" w:firstLineChars="196"/>
        <w:rPr>
          <w:rFonts w:ascii="宋体"/>
          <w:b/>
        </w:rPr>
      </w:pPr>
      <w:r>
        <w:rPr>
          <w:rFonts w:hint="eastAsia" w:ascii="宋体" w:hAnsi="宋体"/>
          <w:b/>
          <w:lang w:val="en-US" w:eastAsia="zh-CN"/>
        </w:rPr>
        <w:t>二</w:t>
      </w:r>
      <w:r>
        <w:rPr>
          <w:rFonts w:hint="eastAsia" w:ascii="宋体" w:hAnsi="宋体"/>
          <w:b/>
        </w:rPr>
        <w:t>、培训、技术支持与售后服务及付款方式等</w:t>
      </w:r>
    </w:p>
    <w:p>
      <w:pPr>
        <w:ind w:firstLine="460" w:firstLineChars="200"/>
        <w:rPr>
          <w:rFonts w:ascii="新宋体" w:hAnsi="新宋体" w:eastAsia="新宋体"/>
        </w:rPr>
      </w:pPr>
      <w:r>
        <w:rPr>
          <w:rFonts w:ascii="新宋体" w:hAnsi="新宋体" w:eastAsia="新宋体"/>
        </w:rPr>
        <w:t>1</w:t>
      </w:r>
      <w:r>
        <w:rPr>
          <w:rFonts w:hint="eastAsia" w:ascii="新宋体" w:hAnsi="新宋体" w:eastAsia="新宋体"/>
        </w:rPr>
        <w:t>、为了保证中标方所提供的设备能良好使用，要求中标方负责提供有关设备功能、安装、操作、维护等的培训。</w:t>
      </w:r>
    </w:p>
    <w:p>
      <w:pPr>
        <w:ind w:firstLine="460" w:firstLineChars="200"/>
        <w:rPr>
          <w:rFonts w:ascii="新宋体" w:hAnsi="新宋体" w:eastAsia="新宋体"/>
        </w:rPr>
      </w:pPr>
      <w:r>
        <w:rPr>
          <w:rFonts w:ascii="新宋体" w:hAnsi="新宋体" w:eastAsia="新宋体"/>
        </w:rPr>
        <w:t>2</w:t>
      </w:r>
      <w:r>
        <w:rPr>
          <w:rFonts w:hint="eastAsia" w:ascii="新宋体" w:hAnsi="新宋体" w:eastAsia="新宋体"/>
        </w:rPr>
        <w:t>、设备使用人员经培训后能够独立熟练地掌握设备的调试、参数的修改、典型故障的处理。</w:t>
      </w:r>
    </w:p>
    <w:p>
      <w:pPr>
        <w:ind w:firstLine="460" w:firstLineChars="200"/>
        <w:rPr>
          <w:rFonts w:ascii="新宋体" w:hAnsi="新宋体" w:eastAsia="新宋体"/>
        </w:rPr>
      </w:pPr>
      <w:r>
        <w:rPr>
          <w:rFonts w:ascii="新宋体" w:hAnsi="新宋体" w:eastAsia="新宋体"/>
        </w:rPr>
        <w:t>3</w:t>
      </w:r>
      <w:r>
        <w:rPr>
          <w:rFonts w:hint="eastAsia" w:ascii="新宋体" w:hAnsi="新宋体" w:eastAsia="新宋体"/>
        </w:rPr>
        <w:t>、维修服务及维护备件</w:t>
      </w:r>
    </w:p>
    <w:p>
      <w:pPr>
        <w:ind w:firstLine="460" w:firstLineChars="200"/>
        <w:rPr>
          <w:rFonts w:ascii="新宋体" w:hAnsi="新宋体" w:eastAsia="新宋体"/>
        </w:rPr>
      </w:pPr>
      <w:r>
        <w:rPr>
          <w:rFonts w:ascii="新宋体" w:hAnsi="新宋体" w:eastAsia="新宋体"/>
        </w:rPr>
        <w:t>3.1</w:t>
      </w:r>
      <w:r>
        <w:rPr>
          <w:rFonts w:hint="eastAsia" w:ascii="新宋体" w:hAnsi="新宋体" w:eastAsia="新宋体"/>
        </w:rPr>
        <w:t>、保修不能短于1年，若原厂保修超过1年的，按原厂保修条件保修。</w:t>
      </w:r>
    </w:p>
    <w:p>
      <w:pPr>
        <w:ind w:firstLine="460" w:firstLineChars="200"/>
        <w:rPr>
          <w:rFonts w:ascii="新宋体" w:hAnsi="新宋体" w:eastAsia="新宋体"/>
        </w:rPr>
      </w:pPr>
      <w:r>
        <w:rPr>
          <w:rFonts w:ascii="新宋体" w:hAnsi="新宋体" w:eastAsia="新宋体"/>
        </w:rPr>
        <w:t>3.2</w:t>
      </w:r>
      <w:r>
        <w:rPr>
          <w:rFonts w:hint="eastAsia" w:ascii="新宋体" w:hAnsi="新宋体" w:eastAsia="新宋体"/>
        </w:rPr>
        <w:t>、在设备保修期满后，中标方仍应提供对任何再出现故障的设备进行修理。</w:t>
      </w:r>
    </w:p>
    <w:p>
      <w:pPr>
        <w:ind w:firstLine="460" w:firstLineChars="200"/>
        <w:rPr>
          <w:rFonts w:ascii="新宋体" w:hAnsi="新宋体" w:eastAsia="新宋体"/>
        </w:rPr>
      </w:pPr>
      <w:r>
        <w:rPr>
          <w:rFonts w:ascii="新宋体" w:hAnsi="新宋体" w:eastAsia="新宋体"/>
        </w:rPr>
        <w:t>4</w:t>
      </w:r>
      <w:r>
        <w:rPr>
          <w:rFonts w:hint="eastAsia" w:ascii="新宋体" w:hAnsi="新宋体" w:eastAsia="新宋体"/>
        </w:rPr>
        <w:t>、技术指导及技术支持支援</w:t>
      </w:r>
    </w:p>
    <w:p>
      <w:pPr>
        <w:ind w:firstLine="460" w:firstLineChars="200"/>
        <w:rPr>
          <w:rFonts w:ascii="新宋体" w:hAnsi="新宋体" w:eastAsia="新宋体"/>
        </w:rPr>
      </w:pPr>
      <w:r>
        <w:rPr>
          <w:rFonts w:hint="eastAsia" w:ascii="新宋体" w:hAnsi="新宋体" w:eastAsia="新宋体"/>
        </w:rPr>
        <w:t>厂家应为设备正常运行提供技术支持，提供</w:t>
      </w:r>
      <w:r>
        <w:rPr>
          <w:rFonts w:ascii="新宋体" w:hAnsi="新宋体" w:eastAsia="新宋体"/>
        </w:rPr>
        <w:t>24</w:t>
      </w:r>
      <w:r>
        <w:rPr>
          <w:rFonts w:hint="eastAsia" w:ascii="新宋体" w:hAnsi="新宋体" w:eastAsia="新宋体"/>
        </w:rPr>
        <w:t>小时的热线支持。且出现故障时可在24小时内抵达现场</w:t>
      </w:r>
    </w:p>
    <w:p>
      <w:pPr>
        <w:ind w:firstLine="460" w:firstLineChars="200"/>
        <w:rPr>
          <w:rFonts w:ascii="新宋体" w:hAnsi="新宋体" w:eastAsia="新宋体"/>
          <w:color w:val="000000"/>
        </w:rPr>
      </w:pPr>
      <w:r>
        <w:rPr>
          <w:rFonts w:hint="eastAsia" w:ascii="新宋体" w:hAnsi="新宋体" w:eastAsia="新宋体"/>
        </w:rPr>
        <w:t>5、</w:t>
      </w:r>
      <w:r>
        <w:rPr>
          <w:rFonts w:hint="eastAsia" w:ascii="新宋体" w:hAnsi="新宋体" w:eastAsia="新宋体"/>
          <w:color w:val="000000"/>
        </w:rPr>
        <w:t>验收方式：</w:t>
      </w:r>
    </w:p>
    <w:p>
      <w:pPr>
        <w:ind w:firstLine="460" w:firstLineChars="200"/>
        <w:rPr>
          <w:rFonts w:ascii="新宋体" w:hAnsi="新宋体" w:eastAsia="新宋体"/>
        </w:rPr>
      </w:pPr>
      <w:r>
        <w:rPr>
          <w:rFonts w:hint="eastAsia" w:ascii="新宋体" w:hAnsi="新宋体" w:eastAsia="新宋体"/>
          <w:color w:val="000000"/>
        </w:rPr>
        <w:t>以乙方安装调试完成并经测试正常，甲方确认为准。</w:t>
      </w:r>
    </w:p>
    <w:p>
      <w:pPr>
        <w:ind w:firstLine="460" w:firstLineChars="200"/>
        <w:rPr>
          <w:rFonts w:ascii="新宋体" w:hAnsi="新宋体" w:eastAsia="新宋体"/>
        </w:rPr>
      </w:pPr>
      <w:r>
        <w:rPr>
          <w:rFonts w:hint="eastAsia" w:ascii="新宋体" w:hAnsi="新宋体" w:eastAsia="新宋体"/>
        </w:rPr>
        <w:t>6、付款方式</w:t>
      </w:r>
    </w:p>
    <w:p>
      <w:pPr>
        <w:ind w:firstLine="460" w:firstLineChars="200"/>
        <w:rPr>
          <w:rFonts w:ascii="新宋体" w:hAnsi="新宋体" w:eastAsia="新宋体"/>
          <w:color w:val="000000"/>
        </w:rPr>
      </w:pPr>
      <w:r>
        <w:rPr>
          <w:rFonts w:hint="eastAsia" w:ascii="新宋体" w:hAnsi="新宋体" w:eastAsia="新宋体"/>
          <w:color w:val="000000"/>
        </w:rPr>
        <w:t>验收合格后30个工作日内一次性付清全款。</w:t>
      </w:r>
    </w:p>
    <w:p>
      <w:pPr>
        <w:ind w:firstLine="460" w:firstLineChars="200"/>
        <w:rPr>
          <w:rFonts w:ascii="新宋体" w:hAnsi="新宋体" w:eastAsia="新宋体"/>
        </w:rPr>
      </w:pPr>
      <w:r>
        <w:rPr>
          <w:rFonts w:hint="eastAsia" w:ascii="新宋体" w:hAnsi="新宋体" w:eastAsia="新宋体"/>
        </w:rPr>
        <w:t>7、开票要求</w:t>
      </w:r>
    </w:p>
    <w:p>
      <w:pPr>
        <w:ind w:firstLine="460" w:firstLineChars="200"/>
        <w:rPr>
          <w:rFonts w:ascii="新宋体" w:hAnsi="新宋体" w:eastAsia="新宋体"/>
        </w:rPr>
      </w:pPr>
      <w:r>
        <w:rPr>
          <w:rFonts w:hint="eastAsia" w:ascii="新宋体" w:hAnsi="新宋体" w:eastAsia="新宋体"/>
        </w:rPr>
        <w:t>供货方应提供13%增值税专用发票。</w:t>
      </w:r>
    </w:p>
    <w:p>
      <w:pPr>
        <w:ind w:firstLine="460" w:firstLineChars="200"/>
        <w:rPr>
          <w:rFonts w:hint="eastAsia" w:ascii="新宋体" w:hAnsi="新宋体" w:eastAsia="新宋体"/>
        </w:rPr>
      </w:pPr>
    </w:p>
    <w:p>
      <w:pPr>
        <w:ind w:firstLine="460" w:firstLineChars="200"/>
        <w:rPr>
          <w:rFonts w:ascii="新宋体" w:hAnsi="新宋体" w:eastAsia="新宋体"/>
        </w:rPr>
      </w:pPr>
      <w:r>
        <w:rPr>
          <w:rFonts w:hint="eastAsia" w:ascii="新宋体" w:hAnsi="新宋体" w:eastAsia="新宋体"/>
        </w:rPr>
        <w:t xml:space="preserve"> </w:t>
      </w:r>
    </w:p>
    <w:sectPr>
      <w:headerReference r:id="rId4" w:type="first"/>
      <w:headerReference r:id="rId3" w:type="default"/>
      <w:footerReference r:id="rId5" w:type="default"/>
      <w:pgSz w:w="11906" w:h="16838"/>
      <w:pgMar w:top="1134" w:right="1361" w:bottom="1134" w:left="1361" w:header="851" w:footer="992" w:gutter="0"/>
      <w:cols w:space="720" w:num="1"/>
      <w:docGrid w:type="linesAndChars" w:linePitch="441" w:charSpace="-2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200"/>
        <w:tab w:val="clear" w:pos="8306"/>
      </w:tabs>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AA018"/>
    <w:multiLevelType w:val="singleLevel"/>
    <w:tmpl w:val="71BAA01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HorizontalSpacing w:val="240"/>
  <w:drawingGridVerticalSpacing w:val="22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E4A"/>
    <w:rsid w:val="00003AF0"/>
    <w:rsid w:val="000070C0"/>
    <w:rsid w:val="00022F28"/>
    <w:rsid w:val="00033613"/>
    <w:rsid w:val="00042941"/>
    <w:rsid w:val="00050382"/>
    <w:rsid w:val="00051B1C"/>
    <w:rsid w:val="00060BBC"/>
    <w:rsid w:val="0006154A"/>
    <w:rsid w:val="00077F35"/>
    <w:rsid w:val="000922E1"/>
    <w:rsid w:val="000951C7"/>
    <w:rsid w:val="00095A9B"/>
    <w:rsid w:val="000A2114"/>
    <w:rsid w:val="000A6D4E"/>
    <w:rsid w:val="000A734F"/>
    <w:rsid w:val="000B44D2"/>
    <w:rsid w:val="000B6A5F"/>
    <w:rsid w:val="000C15CB"/>
    <w:rsid w:val="000C68CC"/>
    <w:rsid w:val="000D0182"/>
    <w:rsid w:val="000D5812"/>
    <w:rsid w:val="000D6002"/>
    <w:rsid w:val="000E18D3"/>
    <w:rsid w:val="000F21A0"/>
    <w:rsid w:val="000F40BE"/>
    <w:rsid w:val="000F4425"/>
    <w:rsid w:val="000F7F86"/>
    <w:rsid w:val="00105C08"/>
    <w:rsid w:val="001215C4"/>
    <w:rsid w:val="00123BBD"/>
    <w:rsid w:val="001242C8"/>
    <w:rsid w:val="00133E4A"/>
    <w:rsid w:val="00134C93"/>
    <w:rsid w:val="00135518"/>
    <w:rsid w:val="0015014B"/>
    <w:rsid w:val="0017023C"/>
    <w:rsid w:val="00170AF3"/>
    <w:rsid w:val="001A2E33"/>
    <w:rsid w:val="001B1989"/>
    <w:rsid w:val="001B1AAF"/>
    <w:rsid w:val="001B4658"/>
    <w:rsid w:val="001C2F62"/>
    <w:rsid w:val="001D21C7"/>
    <w:rsid w:val="001E091D"/>
    <w:rsid w:val="001E7919"/>
    <w:rsid w:val="001F22E4"/>
    <w:rsid w:val="001F3412"/>
    <w:rsid w:val="002016D2"/>
    <w:rsid w:val="00203CFA"/>
    <w:rsid w:val="00204636"/>
    <w:rsid w:val="00204D56"/>
    <w:rsid w:val="00206785"/>
    <w:rsid w:val="00212813"/>
    <w:rsid w:val="00212C3B"/>
    <w:rsid w:val="00222072"/>
    <w:rsid w:val="00222DEC"/>
    <w:rsid w:val="00246F34"/>
    <w:rsid w:val="0024753F"/>
    <w:rsid w:val="00264BEB"/>
    <w:rsid w:val="00270956"/>
    <w:rsid w:val="00295E5C"/>
    <w:rsid w:val="002C0884"/>
    <w:rsid w:val="002C6AEE"/>
    <w:rsid w:val="002C6B65"/>
    <w:rsid w:val="002C7335"/>
    <w:rsid w:val="002D4E96"/>
    <w:rsid w:val="002E5AD0"/>
    <w:rsid w:val="00300BA2"/>
    <w:rsid w:val="00300BDE"/>
    <w:rsid w:val="00302820"/>
    <w:rsid w:val="00310A08"/>
    <w:rsid w:val="003125C9"/>
    <w:rsid w:val="00314642"/>
    <w:rsid w:val="00314843"/>
    <w:rsid w:val="00315B44"/>
    <w:rsid w:val="00320685"/>
    <w:rsid w:val="0033284B"/>
    <w:rsid w:val="00333C53"/>
    <w:rsid w:val="00351D83"/>
    <w:rsid w:val="00355C96"/>
    <w:rsid w:val="0035658A"/>
    <w:rsid w:val="003673D4"/>
    <w:rsid w:val="00370D83"/>
    <w:rsid w:val="00373632"/>
    <w:rsid w:val="00376AD6"/>
    <w:rsid w:val="00381380"/>
    <w:rsid w:val="00387051"/>
    <w:rsid w:val="003933C5"/>
    <w:rsid w:val="003946FC"/>
    <w:rsid w:val="003A35CE"/>
    <w:rsid w:val="003A49DE"/>
    <w:rsid w:val="003B192D"/>
    <w:rsid w:val="003B2C6F"/>
    <w:rsid w:val="003B5A0F"/>
    <w:rsid w:val="003C3E3C"/>
    <w:rsid w:val="003D4171"/>
    <w:rsid w:val="003D7023"/>
    <w:rsid w:val="003F272B"/>
    <w:rsid w:val="003F7A65"/>
    <w:rsid w:val="00412152"/>
    <w:rsid w:val="00413913"/>
    <w:rsid w:val="00422A45"/>
    <w:rsid w:val="00425124"/>
    <w:rsid w:val="00435B74"/>
    <w:rsid w:val="00440B31"/>
    <w:rsid w:val="00441520"/>
    <w:rsid w:val="00441B04"/>
    <w:rsid w:val="00450A7F"/>
    <w:rsid w:val="004523CE"/>
    <w:rsid w:val="00465A3A"/>
    <w:rsid w:val="004811C8"/>
    <w:rsid w:val="00492DE6"/>
    <w:rsid w:val="00495404"/>
    <w:rsid w:val="004A1C85"/>
    <w:rsid w:val="004A571A"/>
    <w:rsid w:val="004A57BA"/>
    <w:rsid w:val="004B47F3"/>
    <w:rsid w:val="004B6AF0"/>
    <w:rsid w:val="004C681B"/>
    <w:rsid w:val="004D1D19"/>
    <w:rsid w:val="004D50D1"/>
    <w:rsid w:val="004E09B8"/>
    <w:rsid w:val="004E0D61"/>
    <w:rsid w:val="004F4A37"/>
    <w:rsid w:val="00503122"/>
    <w:rsid w:val="005072CE"/>
    <w:rsid w:val="00513B0B"/>
    <w:rsid w:val="0051402A"/>
    <w:rsid w:val="00516DD1"/>
    <w:rsid w:val="0051709E"/>
    <w:rsid w:val="005175B8"/>
    <w:rsid w:val="005302FD"/>
    <w:rsid w:val="00531143"/>
    <w:rsid w:val="00532784"/>
    <w:rsid w:val="00533927"/>
    <w:rsid w:val="00547C72"/>
    <w:rsid w:val="005554F3"/>
    <w:rsid w:val="00570338"/>
    <w:rsid w:val="005718D4"/>
    <w:rsid w:val="00573920"/>
    <w:rsid w:val="00576168"/>
    <w:rsid w:val="005841BA"/>
    <w:rsid w:val="005905CD"/>
    <w:rsid w:val="0059574F"/>
    <w:rsid w:val="005A4072"/>
    <w:rsid w:val="005B1223"/>
    <w:rsid w:val="005B35BB"/>
    <w:rsid w:val="005C3969"/>
    <w:rsid w:val="005E1DCF"/>
    <w:rsid w:val="006226EB"/>
    <w:rsid w:val="00625386"/>
    <w:rsid w:val="0064359E"/>
    <w:rsid w:val="0064414D"/>
    <w:rsid w:val="006529B3"/>
    <w:rsid w:val="006641AA"/>
    <w:rsid w:val="00681ECC"/>
    <w:rsid w:val="00686AB5"/>
    <w:rsid w:val="006873E5"/>
    <w:rsid w:val="00690CDA"/>
    <w:rsid w:val="0069512F"/>
    <w:rsid w:val="006A0C8A"/>
    <w:rsid w:val="006A5C92"/>
    <w:rsid w:val="006A7C4E"/>
    <w:rsid w:val="006B474C"/>
    <w:rsid w:val="006C1F33"/>
    <w:rsid w:val="006C6C99"/>
    <w:rsid w:val="006D04B8"/>
    <w:rsid w:val="006D082C"/>
    <w:rsid w:val="006F5843"/>
    <w:rsid w:val="00700BA6"/>
    <w:rsid w:val="00701B6E"/>
    <w:rsid w:val="00702B08"/>
    <w:rsid w:val="007054BE"/>
    <w:rsid w:val="00706C36"/>
    <w:rsid w:val="00710D49"/>
    <w:rsid w:val="00722162"/>
    <w:rsid w:val="00723D95"/>
    <w:rsid w:val="00724AA8"/>
    <w:rsid w:val="00730525"/>
    <w:rsid w:val="00733ACC"/>
    <w:rsid w:val="00737A8A"/>
    <w:rsid w:val="00750300"/>
    <w:rsid w:val="00756740"/>
    <w:rsid w:val="00757D51"/>
    <w:rsid w:val="007700BD"/>
    <w:rsid w:val="00773A1E"/>
    <w:rsid w:val="00773AFA"/>
    <w:rsid w:val="00776629"/>
    <w:rsid w:val="00776F2F"/>
    <w:rsid w:val="00787AB2"/>
    <w:rsid w:val="00792D6E"/>
    <w:rsid w:val="007A4786"/>
    <w:rsid w:val="007A54FA"/>
    <w:rsid w:val="007A6D79"/>
    <w:rsid w:val="007B1750"/>
    <w:rsid w:val="007B2C47"/>
    <w:rsid w:val="007B36FE"/>
    <w:rsid w:val="007B50BB"/>
    <w:rsid w:val="007B7833"/>
    <w:rsid w:val="007C067B"/>
    <w:rsid w:val="007C229D"/>
    <w:rsid w:val="007C2423"/>
    <w:rsid w:val="007D242A"/>
    <w:rsid w:val="007E2E6E"/>
    <w:rsid w:val="007E426D"/>
    <w:rsid w:val="007F4D53"/>
    <w:rsid w:val="007F703D"/>
    <w:rsid w:val="00800C21"/>
    <w:rsid w:val="0080349F"/>
    <w:rsid w:val="00807DF9"/>
    <w:rsid w:val="00817698"/>
    <w:rsid w:val="008209FE"/>
    <w:rsid w:val="00821533"/>
    <w:rsid w:val="008254C4"/>
    <w:rsid w:val="008255A2"/>
    <w:rsid w:val="00832456"/>
    <w:rsid w:val="00846D7E"/>
    <w:rsid w:val="0085168A"/>
    <w:rsid w:val="00852411"/>
    <w:rsid w:val="0085251B"/>
    <w:rsid w:val="0085280B"/>
    <w:rsid w:val="00853CE5"/>
    <w:rsid w:val="00855939"/>
    <w:rsid w:val="00863F71"/>
    <w:rsid w:val="008667E1"/>
    <w:rsid w:val="00886735"/>
    <w:rsid w:val="00887253"/>
    <w:rsid w:val="00894168"/>
    <w:rsid w:val="008A21F5"/>
    <w:rsid w:val="008A3BFB"/>
    <w:rsid w:val="008A7DF9"/>
    <w:rsid w:val="008B4D4A"/>
    <w:rsid w:val="008C047F"/>
    <w:rsid w:val="008C7A88"/>
    <w:rsid w:val="008E0F22"/>
    <w:rsid w:val="008E7699"/>
    <w:rsid w:val="008F279F"/>
    <w:rsid w:val="009006B6"/>
    <w:rsid w:val="0090285E"/>
    <w:rsid w:val="0092252D"/>
    <w:rsid w:val="00925950"/>
    <w:rsid w:val="009422CD"/>
    <w:rsid w:val="009432C1"/>
    <w:rsid w:val="009442D2"/>
    <w:rsid w:val="00953BBB"/>
    <w:rsid w:val="009673B1"/>
    <w:rsid w:val="0097237B"/>
    <w:rsid w:val="00975C5E"/>
    <w:rsid w:val="00977C2B"/>
    <w:rsid w:val="00990A29"/>
    <w:rsid w:val="009A6426"/>
    <w:rsid w:val="009B1D7F"/>
    <w:rsid w:val="009B292C"/>
    <w:rsid w:val="009B30DC"/>
    <w:rsid w:val="009B77E3"/>
    <w:rsid w:val="009C47DF"/>
    <w:rsid w:val="009D0A87"/>
    <w:rsid w:val="009F0219"/>
    <w:rsid w:val="009F5580"/>
    <w:rsid w:val="00A07F77"/>
    <w:rsid w:val="00A11CEF"/>
    <w:rsid w:val="00A15AA9"/>
    <w:rsid w:val="00A22609"/>
    <w:rsid w:val="00A23DC9"/>
    <w:rsid w:val="00A2543B"/>
    <w:rsid w:val="00A31CB7"/>
    <w:rsid w:val="00A33916"/>
    <w:rsid w:val="00A371B3"/>
    <w:rsid w:val="00A41828"/>
    <w:rsid w:val="00A63381"/>
    <w:rsid w:val="00A6519B"/>
    <w:rsid w:val="00A65723"/>
    <w:rsid w:val="00A73897"/>
    <w:rsid w:val="00A85C8F"/>
    <w:rsid w:val="00A90916"/>
    <w:rsid w:val="00A91E8C"/>
    <w:rsid w:val="00A92738"/>
    <w:rsid w:val="00A92C90"/>
    <w:rsid w:val="00AA3058"/>
    <w:rsid w:val="00AA3D0E"/>
    <w:rsid w:val="00AA45E4"/>
    <w:rsid w:val="00AA5C75"/>
    <w:rsid w:val="00AC3F61"/>
    <w:rsid w:val="00AC4908"/>
    <w:rsid w:val="00AC637D"/>
    <w:rsid w:val="00AC6ADA"/>
    <w:rsid w:val="00AD059B"/>
    <w:rsid w:val="00AE4E29"/>
    <w:rsid w:val="00AF3091"/>
    <w:rsid w:val="00AF6B81"/>
    <w:rsid w:val="00AF7812"/>
    <w:rsid w:val="00B0163C"/>
    <w:rsid w:val="00B03B99"/>
    <w:rsid w:val="00B04212"/>
    <w:rsid w:val="00B1493D"/>
    <w:rsid w:val="00B21D65"/>
    <w:rsid w:val="00B36EFE"/>
    <w:rsid w:val="00B50071"/>
    <w:rsid w:val="00B62FA1"/>
    <w:rsid w:val="00B66CC7"/>
    <w:rsid w:val="00B67752"/>
    <w:rsid w:val="00B704DE"/>
    <w:rsid w:val="00B70C26"/>
    <w:rsid w:val="00B800F6"/>
    <w:rsid w:val="00B81938"/>
    <w:rsid w:val="00B82A63"/>
    <w:rsid w:val="00B93839"/>
    <w:rsid w:val="00B94C98"/>
    <w:rsid w:val="00B9566E"/>
    <w:rsid w:val="00BB1B63"/>
    <w:rsid w:val="00BB56CF"/>
    <w:rsid w:val="00BB7EF2"/>
    <w:rsid w:val="00BD0EED"/>
    <w:rsid w:val="00BD4143"/>
    <w:rsid w:val="00BD4F83"/>
    <w:rsid w:val="00BF2A55"/>
    <w:rsid w:val="00BF6291"/>
    <w:rsid w:val="00C03AC6"/>
    <w:rsid w:val="00C05CE3"/>
    <w:rsid w:val="00C10A78"/>
    <w:rsid w:val="00C14D09"/>
    <w:rsid w:val="00C17E20"/>
    <w:rsid w:val="00C468F0"/>
    <w:rsid w:val="00C5065C"/>
    <w:rsid w:val="00C5514B"/>
    <w:rsid w:val="00C628EE"/>
    <w:rsid w:val="00C63742"/>
    <w:rsid w:val="00C71EE7"/>
    <w:rsid w:val="00C7377F"/>
    <w:rsid w:val="00C75DA8"/>
    <w:rsid w:val="00C9214B"/>
    <w:rsid w:val="00CA0084"/>
    <w:rsid w:val="00CA15B4"/>
    <w:rsid w:val="00CB2253"/>
    <w:rsid w:val="00CC13DC"/>
    <w:rsid w:val="00CD08B8"/>
    <w:rsid w:val="00CD7DB8"/>
    <w:rsid w:val="00CE0731"/>
    <w:rsid w:val="00CE1D64"/>
    <w:rsid w:val="00D01913"/>
    <w:rsid w:val="00D10939"/>
    <w:rsid w:val="00D25072"/>
    <w:rsid w:val="00D3357D"/>
    <w:rsid w:val="00D41DDA"/>
    <w:rsid w:val="00D443AE"/>
    <w:rsid w:val="00D46DCB"/>
    <w:rsid w:val="00D527A3"/>
    <w:rsid w:val="00D551AA"/>
    <w:rsid w:val="00D65950"/>
    <w:rsid w:val="00D672DD"/>
    <w:rsid w:val="00D746C5"/>
    <w:rsid w:val="00D91471"/>
    <w:rsid w:val="00D94759"/>
    <w:rsid w:val="00DA5C42"/>
    <w:rsid w:val="00DB0AF0"/>
    <w:rsid w:val="00DD03D5"/>
    <w:rsid w:val="00DD2066"/>
    <w:rsid w:val="00DD2A8F"/>
    <w:rsid w:val="00DD4670"/>
    <w:rsid w:val="00DE34CA"/>
    <w:rsid w:val="00DE7991"/>
    <w:rsid w:val="00E013FD"/>
    <w:rsid w:val="00E0185F"/>
    <w:rsid w:val="00E02ACC"/>
    <w:rsid w:val="00E038C0"/>
    <w:rsid w:val="00E1195D"/>
    <w:rsid w:val="00E14BA5"/>
    <w:rsid w:val="00E265BF"/>
    <w:rsid w:val="00E32677"/>
    <w:rsid w:val="00E51C94"/>
    <w:rsid w:val="00E64254"/>
    <w:rsid w:val="00E70284"/>
    <w:rsid w:val="00E712BC"/>
    <w:rsid w:val="00E764E8"/>
    <w:rsid w:val="00E77E21"/>
    <w:rsid w:val="00E8061E"/>
    <w:rsid w:val="00E95466"/>
    <w:rsid w:val="00EC0776"/>
    <w:rsid w:val="00EE2B64"/>
    <w:rsid w:val="00EE719B"/>
    <w:rsid w:val="00EF07FB"/>
    <w:rsid w:val="00F01198"/>
    <w:rsid w:val="00F063A4"/>
    <w:rsid w:val="00F1048E"/>
    <w:rsid w:val="00F143F2"/>
    <w:rsid w:val="00F15D43"/>
    <w:rsid w:val="00F325C9"/>
    <w:rsid w:val="00F40959"/>
    <w:rsid w:val="00F45E41"/>
    <w:rsid w:val="00F51D59"/>
    <w:rsid w:val="00F5243A"/>
    <w:rsid w:val="00F727BA"/>
    <w:rsid w:val="00F7467A"/>
    <w:rsid w:val="00F80171"/>
    <w:rsid w:val="00F84703"/>
    <w:rsid w:val="00F859B3"/>
    <w:rsid w:val="00F92765"/>
    <w:rsid w:val="00F95406"/>
    <w:rsid w:val="00F975C4"/>
    <w:rsid w:val="00FA3C10"/>
    <w:rsid w:val="00FA3DEC"/>
    <w:rsid w:val="00FA5310"/>
    <w:rsid w:val="00FA75EC"/>
    <w:rsid w:val="00FB0CD6"/>
    <w:rsid w:val="00FB112B"/>
    <w:rsid w:val="00FB28A5"/>
    <w:rsid w:val="00FB3961"/>
    <w:rsid w:val="00FB4C4C"/>
    <w:rsid w:val="00FC4F56"/>
    <w:rsid w:val="00FD2A16"/>
    <w:rsid w:val="00FD33E0"/>
    <w:rsid w:val="00FD38C9"/>
    <w:rsid w:val="00FD4874"/>
    <w:rsid w:val="00FD4C93"/>
    <w:rsid w:val="00FE7BAB"/>
    <w:rsid w:val="00FF108F"/>
    <w:rsid w:val="02804FEB"/>
    <w:rsid w:val="029A05E7"/>
    <w:rsid w:val="0A835EA6"/>
    <w:rsid w:val="0AE85EBA"/>
    <w:rsid w:val="0B5F3C8F"/>
    <w:rsid w:val="0DB02FF3"/>
    <w:rsid w:val="0F036774"/>
    <w:rsid w:val="0F2079C8"/>
    <w:rsid w:val="103002DE"/>
    <w:rsid w:val="10A70BF3"/>
    <w:rsid w:val="12D2134F"/>
    <w:rsid w:val="130C0225"/>
    <w:rsid w:val="13382C2B"/>
    <w:rsid w:val="13D06CA9"/>
    <w:rsid w:val="1E894272"/>
    <w:rsid w:val="1F31252B"/>
    <w:rsid w:val="21A73C41"/>
    <w:rsid w:val="23A17E92"/>
    <w:rsid w:val="29F67A4E"/>
    <w:rsid w:val="2B365A35"/>
    <w:rsid w:val="2C3B2254"/>
    <w:rsid w:val="2C711865"/>
    <w:rsid w:val="2D5A072C"/>
    <w:rsid w:val="2E437852"/>
    <w:rsid w:val="33C97D95"/>
    <w:rsid w:val="33FE421A"/>
    <w:rsid w:val="34D73378"/>
    <w:rsid w:val="364F5B20"/>
    <w:rsid w:val="38590AB3"/>
    <w:rsid w:val="3AA62D84"/>
    <w:rsid w:val="46D47E1E"/>
    <w:rsid w:val="488327DD"/>
    <w:rsid w:val="4A2F5306"/>
    <w:rsid w:val="4D3901E5"/>
    <w:rsid w:val="4D93488A"/>
    <w:rsid w:val="4F163A95"/>
    <w:rsid w:val="4F9D4561"/>
    <w:rsid w:val="50C64392"/>
    <w:rsid w:val="5107174D"/>
    <w:rsid w:val="539A25FB"/>
    <w:rsid w:val="556F2419"/>
    <w:rsid w:val="57A544E6"/>
    <w:rsid w:val="57B76ED7"/>
    <w:rsid w:val="594002D8"/>
    <w:rsid w:val="5BB3550D"/>
    <w:rsid w:val="639172B5"/>
    <w:rsid w:val="649E6D4F"/>
    <w:rsid w:val="65236C4F"/>
    <w:rsid w:val="65637555"/>
    <w:rsid w:val="67134A4A"/>
    <w:rsid w:val="6CAF0DB4"/>
    <w:rsid w:val="70862C7C"/>
    <w:rsid w:val="717C64A8"/>
    <w:rsid w:val="77F01997"/>
    <w:rsid w:val="7B112942"/>
    <w:rsid w:val="7D83652A"/>
    <w:rsid w:val="7EB81E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3"/>
    <w:basedOn w:val="1"/>
    <w:next w:val="1"/>
    <w:link w:val="17"/>
    <w:qFormat/>
    <w:uiPriority w:val="99"/>
    <w:pPr>
      <w:autoSpaceDE w:val="0"/>
      <w:autoSpaceDN w:val="0"/>
      <w:adjustRightInd w:val="0"/>
      <w:spacing w:after="156" w:line="360" w:lineRule="auto"/>
      <w:ind w:left="-4"/>
      <w:jc w:val="center"/>
      <w:outlineLvl w:val="2"/>
    </w:pPr>
    <w:rPr>
      <w:rFonts w:ascii="宋体" w:hAnsi="宋体"/>
      <w:b/>
      <w:color w:val="000000"/>
      <w:kern w:val="0"/>
      <w:sz w:val="21"/>
      <w:szCs w:val="20"/>
      <w:lang w:val="en-GB"/>
    </w:rPr>
  </w:style>
  <w:style w:type="paragraph" w:styleId="3">
    <w:name w:val="heading 4"/>
    <w:basedOn w:val="1"/>
    <w:next w:val="1"/>
    <w:link w:val="18"/>
    <w:qFormat/>
    <w:uiPriority w:val="99"/>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99"/>
    <w:pPr>
      <w:jc w:val="left"/>
    </w:pPr>
  </w:style>
  <w:style w:type="paragraph" w:styleId="5">
    <w:name w:val="Body Text Indent"/>
    <w:basedOn w:val="1"/>
    <w:link w:val="20"/>
    <w:qFormat/>
    <w:uiPriority w:val="99"/>
    <w:pPr>
      <w:ind w:firstLine="600" w:firstLineChars="200"/>
    </w:pPr>
    <w:rPr>
      <w:rFonts w:eastAsia="楷体_GB2312"/>
      <w:sz w:val="30"/>
    </w:rPr>
  </w:style>
  <w:style w:type="paragraph" w:styleId="6">
    <w:name w:val="Plain Text"/>
    <w:basedOn w:val="1"/>
    <w:link w:val="21"/>
    <w:uiPriority w:val="99"/>
    <w:pPr>
      <w:spacing w:line="324" w:lineRule="auto"/>
    </w:pPr>
    <w:rPr>
      <w:rFonts w:ascii="宋体" w:hAnsi="Courier New"/>
      <w:sz w:val="21"/>
      <w:szCs w:val="21"/>
    </w:r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Times" w:hAnsi="Times"/>
      <w:kern w:val="0"/>
      <w:sz w:val="20"/>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Hyperlink"/>
    <w:basedOn w:val="13"/>
    <w:qFormat/>
    <w:locked/>
    <w:uiPriority w:val="99"/>
    <w:rPr>
      <w:rFonts w:cs="Times New Roman"/>
      <w:color w:val="0000FF"/>
      <w:u w:val="single"/>
    </w:rPr>
  </w:style>
  <w:style w:type="character" w:styleId="16">
    <w:name w:val="annotation reference"/>
    <w:basedOn w:val="13"/>
    <w:qFormat/>
    <w:uiPriority w:val="99"/>
    <w:rPr>
      <w:rFonts w:cs="Times New Roman"/>
      <w:sz w:val="21"/>
      <w:szCs w:val="21"/>
    </w:rPr>
  </w:style>
  <w:style w:type="character" w:customStyle="1" w:styleId="17">
    <w:name w:val="标题 3 Char"/>
    <w:basedOn w:val="13"/>
    <w:link w:val="2"/>
    <w:semiHidden/>
    <w:qFormat/>
    <w:locked/>
    <w:uiPriority w:val="99"/>
    <w:rPr>
      <w:rFonts w:cs="Times New Roman"/>
      <w:b/>
      <w:bCs/>
      <w:sz w:val="32"/>
      <w:szCs w:val="32"/>
    </w:rPr>
  </w:style>
  <w:style w:type="character" w:customStyle="1" w:styleId="18">
    <w:name w:val="标题 4 Char"/>
    <w:basedOn w:val="13"/>
    <w:link w:val="3"/>
    <w:semiHidden/>
    <w:qFormat/>
    <w:locked/>
    <w:uiPriority w:val="99"/>
    <w:rPr>
      <w:rFonts w:ascii="Cambria" w:hAnsi="Cambria" w:eastAsia="宋体" w:cs="Times New Roman"/>
      <w:b/>
      <w:bCs/>
      <w:sz w:val="28"/>
      <w:szCs w:val="28"/>
    </w:rPr>
  </w:style>
  <w:style w:type="character" w:customStyle="1" w:styleId="19">
    <w:name w:val="批注文字 Char"/>
    <w:basedOn w:val="13"/>
    <w:link w:val="4"/>
    <w:semiHidden/>
    <w:qFormat/>
    <w:locked/>
    <w:uiPriority w:val="99"/>
    <w:rPr>
      <w:rFonts w:cs="Times New Roman"/>
      <w:sz w:val="24"/>
      <w:szCs w:val="24"/>
    </w:rPr>
  </w:style>
  <w:style w:type="character" w:customStyle="1" w:styleId="20">
    <w:name w:val="正文文本缩进 Char"/>
    <w:basedOn w:val="13"/>
    <w:link w:val="5"/>
    <w:semiHidden/>
    <w:qFormat/>
    <w:locked/>
    <w:uiPriority w:val="99"/>
    <w:rPr>
      <w:rFonts w:cs="Times New Roman"/>
      <w:sz w:val="24"/>
      <w:szCs w:val="24"/>
    </w:rPr>
  </w:style>
  <w:style w:type="character" w:customStyle="1" w:styleId="21">
    <w:name w:val="纯文本 Char"/>
    <w:basedOn w:val="13"/>
    <w:link w:val="6"/>
    <w:qFormat/>
    <w:locked/>
    <w:uiPriority w:val="99"/>
    <w:rPr>
      <w:rFonts w:ascii="宋体" w:hAnsi="Courier New" w:cs="Times New Roman"/>
      <w:kern w:val="2"/>
      <w:sz w:val="21"/>
    </w:rPr>
  </w:style>
  <w:style w:type="character" w:customStyle="1" w:styleId="22">
    <w:name w:val="批注框文本 Char"/>
    <w:basedOn w:val="13"/>
    <w:link w:val="7"/>
    <w:semiHidden/>
    <w:qFormat/>
    <w:locked/>
    <w:uiPriority w:val="99"/>
    <w:rPr>
      <w:rFonts w:cs="Times New Roman"/>
      <w:sz w:val="2"/>
    </w:rPr>
  </w:style>
  <w:style w:type="character" w:customStyle="1" w:styleId="23">
    <w:name w:val="页脚 Char"/>
    <w:basedOn w:val="13"/>
    <w:link w:val="8"/>
    <w:semiHidden/>
    <w:locked/>
    <w:uiPriority w:val="99"/>
    <w:rPr>
      <w:rFonts w:cs="Times New Roman"/>
      <w:sz w:val="18"/>
      <w:szCs w:val="18"/>
    </w:rPr>
  </w:style>
  <w:style w:type="character" w:customStyle="1" w:styleId="24">
    <w:name w:val="页眉 Char"/>
    <w:basedOn w:val="13"/>
    <w:link w:val="9"/>
    <w:semiHidden/>
    <w:qFormat/>
    <w:locked/>
    <w:uiPriority w:val="99"/>
    <w:rPr>
      <w:rFonts w:cs="Times New Roman"/>
      <w:sz w:val="18"/>
      <w:szCs w:val="18"/>
    </w:rPr>
  </w:style>
  <w:style w:type="character" w:customStyle="1" w:styleId="25">
    <w:name w:val="themebody1"/>
    <w:uiPriority w:val="99"/>
    <w:rPr>
      <w:color w:val="FFFFFF"/>
    </w:rPr>
  </w:style>
  <w:style w:type="character" w:customStyle="1" w:styleId="26">
    <w:name w:val="列出段落 Char"/>
    <w:link w:val="27"/>
    <w:qFormat/>
    <w:locked/>
    <w:uiPriority w:val="99"/>
    <w:rPr>
      <w:rFonts w:ascii="Calibri" w:hAnsi="Calibri" w:eastAsia="宋体"/>
      <w:kern w:val="2"/>
      <w:sz w:val="22"/>
      <w:lang w:val="en-US" w:eastAsia="zh-CN"/>
    </w:rPr>
  </w:style>
  <w:style w:type="paragraph" w:styleId="27">
    <w:name w:val="List Paragraph"/>
    <w:basedOn w:val="1"/>
    <w:link w:val="26"/>
    <w:qFormat/>
    <w:uiPriority w:val="99"/>
    <w:pPr>
      <w:ind w:firstLine="420" w:firstLineChars="200"/>
    </w:pPr>
    <w:rPr>
      <w:rFonts w:ascii="Calibri" w:hAnsi="Calibri"/>
      <w:sz w:val="22"/>
      <w:szCs w:val="20"/>
    </w:rPr>
  </w:style>
  <w:style w:type="paragraph" w:customStyle="1" w:styleId="28">
    <w:name w:val="列出段落1"/>
    <w:basedOn w:val="1"/>
    <w:qFormat/>
    <w:uiPriority w:val="99"/>
    <w:pPr>
      <w:ind w:firstLine="420" w:firstLineChars="200"/>
    </w:pPr>
    <w:rPr>
      <w:rFonts w:ascii="Calibri" w:hAnsi="Calibri"/>
      <w:sz w:val="21"/>
      <w:szCs w:val="22"/>
    </w:rPr>
  </w:style>
  <w:style w:type="paragraph" w:customStyle="1" w:styleId="29">
    <w:name w:val="*正文"/>
    <w:basedOn w:val="1"/>
    <w:link w:val="30"/>
    <w:uiPriority w:val="99"/>
    <w:pPr>
      <w:spacing w:line="360" w:lineRule="auto"/>
      <w:ind w:firstLine="560" w:firstLineChars="200"/>
    </w:pPr>
    <w:rPr>
      <w:rFonts w:ascii="仿宋_GB2312" w:eastAsia="仿宋_GB2312"/>
      <w:sz w:val="28"/>
      <w:szCs w:val="20"/>
      <w:lang w:val="zh-CN"/>
    </w:rPr>
  </w:style>
  <w:style w:type="character" w:customStyle="1" w:styleId="30">
    <w:name w:val="*正文 Char"/>
    <w:link w:val="29"/>
    <w:locked/>
    <w:uiPriority w:val="99"/>
    <w:rPr>
      <w:rFonts w:ascii="仿宋_GB2312" w:eastAsia="仿宋_GB2312"/>
      <w:kern w:val="2"/>
      <w:sz w:val="28"/>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260</Words>
  <Characters>1484</Characters>
  <Lines>12</Lines>
  <Paragraphs>3</Paragraphs>
  <TotalTime>0</TotalTime>
  <ScaleCrop>false</ScaleCrop>
  <LinksUpToDate>false</LinksUpToDate>
  <CharactersWithSpaces>1741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2020-09-01T09:28:00Z</dcterms:created>
  <dc:creator>微软用户</dc:creator>
  <cp:lastModifiedBy>吴艭</cp:lastModifiedBy>
  <cp:lastPrinted>2020-10-09T00:26:00Z</cp:lastPrinted>
  <dcterms:modified xsi:type="dcterms:W3CDTF">2023-07-10T03:05:12Z</dcterms:modified>
  <dc:title>邀请招标文件</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